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B9" w:rsidRPr="006D0586" w:rsidRDefault="004B21B9" w:rsidP="004B21B9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6D0586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1DB82528" wp14:editId="3C763F8E">
            <wp:extent cx="1924050" cy="866775"/>
            <wp:effectExtent l="0" t="0" r="0" b="9525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586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 </w:t>
      </w:r>
      <w:r w:rsidRPr="006D0586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1F710421" wp14:editId="4DB81BC9">
            <wp:extent cx="2101850" cy="866775"/>
            <wp:effectExtent l="0" t="0" r="0" b="9525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6D0586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6D0586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6D0586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2B0ED7E5" wp14:editId="737D38EA">
            <wp:extent cx="5652770" cy="3550920"/>
            <wp:effectExtent l="0" t="0" r="5080" b="0"/>
            <wp:docPr id="3" name="Рисунок 3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6D0586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քարագլուխ ԲՆԱԿԱՎԱՅՐԻ ԱՐՈՏԱՎԱՅՐԵՐԻ ԿԱՌԱՎԱՐՄԱՆ ԵՎ ԱՆԱՍՆԱՊԱՀՈՒԹՅԱՆ ԶԱՐԳԱՑՄԱՆ ՊԼԱՆ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rPr>
          <w:rFonts w:ascii="Sylfaen" w:hAnsi="Sylfaen"/>
          <w:b/>
          <w:color w:val="auto"/>
          <w:sz w:val="16"/>
          <w:szCs w:val="16"/>
        </w:rPr>
      </w:pPr>
      <w:r w:rsidRPr="006D0586">
        <w:rPr>
          <w:rFonts w:ascii="Sylfaen" w:hAnsi="Sylfaen"/>
          <w:b/>
          <w:color w:val="auto"/>
          <w:sz w:val="16"/>
          <w:szCs w:val="16"/>
        </w:rPr>
        <w:t xml:space="preserve">                                                    2019թ.</w:t>
      </w:r>
    </w:p>
    <w:p w:rsidR="004B21B9" w:rsidRPr="006D0586" w:rsidRDefault="004B21B9" w:rsidP="004B21B9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4B21B9" w:rsidRPr="006D0586">
          <w:pgSz w:w="11907" w:h="16840"/>
          <w:pgMar w:top="1440" w:right="1440" w:bottom="1440" w:left="1440" w:header="709" w:footer="843" w:gutter="0"/>
          <w:pgNumType w:start="0" w:chapStyle="1"/>
          <w:cols w:space="720"/>
        </w:sectPr>
      </w:pPr>
    </w:p>
    <w:p w:rsidR="004B21B9" w:rsidRPr="006D0586" w:rsidRDefault="004B21B9" w:rsidP="004B21B9">
      <w:pPr>
        <w:jc w:val="center"/>
        <w:rPr>
          <w:b/>
          <w:sz w:val="16"/>
          <w:szCs w:val="16"/>
        </w:rPr>
      </w:pPr>
      <w:r w:rsidRPr="006D0586">
        <w:rPr>
          <w:rFonts w:ascii="Sylfaen" w:hAnsi="Sylfaen" w:cs="Sylfaen"/>
          <w:b/>
          <w:sz w:val="16"/>
          <w:szCs w:val="16"/>
        </w:rPr>
        <w:lastRenderedPageBreak/>
        <w:t>Բովանդակություն</w:t>
      </w:r>
    </w:p>
    <w:p w:rsidR="004B21B9" w:rsidRPr="006D0586" w:rsidRDefault="004B21B9" w:rsidP="004B21B9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4B21B9" w:rsidRPr="006D0586" w:rsidRDefault="004B21B9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r w:rsidRPr="006D0586">
        <w:rPr>
          <w:sz w:val="16"/>
          <w:szCs w:val="16"/>
        </w:rPr>
        <w:fldChar w:fldCharType="begin"/>
      </w:r>
      <w:r w:rsidRPr="006D0586">
        <w:rPr>
          <w:sz w:val="16"/>
          <w:szCs w:val="16"/>
        </w:rPr>
        <w:instrText xml:space="preserve"> TOC \o "1-3" \h \z \u </w:instrText>
      </w:r>
      <w:r w:rsidRPr="006D0586">
        <w:rPr>
          <w:sz w:val="16"/>
          <w:szCs w:val="16"/>
        </w:rPr>
        <w:fldChar w:fldCharType="separate"/>
      </w:r>
      <w:hyperlink r:id="rId9" w:anchor="_Toc17972292" w:history="1">
        <w:r w:rsidRPr="006D0586">
          <w:rPr>
            <w:rStyle w:val="a3"/>
            <w:sz w:val="16"/>
            <w:szCs w:val="16"/>
          </w:rPr>
          <w:t>1. Ներածություն</w:t>
        </w:r>
        <w:r w:rsidRPr="006D0586">
          <w:rPr>
            <w:rStyle w:val="a3"/>
            <w:webHidden/>
            <w:sz w:val="16"/>
            <w:szCs w:val="16"/>
          </w:rPr>
          <w:tab/>
        </w:r>
        <w:r w:rsidRPr="006D0586">
          <w:rPr>
            <w:rStyle w:val="a3"/>
            <w:webHidden/>
            <w:sz w:val="16"/>
            <w:szCs w:val="16"/>
          </w:rPr>
          <w:fldChar w:fldCharType="begin"/>
        </w:r>
        <w:r w:rsidRPr="006D0586">
          <w:rPr>
            <w:rStyle w:val="a3"/>
            <w:webHidden/>
            <w:sz w:val="16"/>
            <w:szCs w:val="16"/>
          </w:rPr>
          <w:instrText xml:space="preserve"> PAGEREF _Toc17972292 \h </w:instrText>
        </w:r>
        <w:r w:rsidRPr="006D0586">
          <w:rPr>
            <w:rStyle w:val="a3"/>
            <w:webHidden/>
            <w:sz w:val="16"/>
            <w:szCs w:val="16"/>
          </w:rPr>
        </w:r>
        <w:r w:rsidRPr="006D0586">
          <w:rPr>
            <w:rStyle w:val="a3"/>
            <w:webHidden/>
            <w:sz w:val="16"/>
            <w:szCs w:val="16"/>
          </w:rPr>
          <w:fldChar w:fldCharType="separate"/>
        </w:r>
        <w:r w:rsidR="006D0586">
          <w:rPr>
            <w:rStyle w:val="a3"/>
            <w:webHidden/>
            <w:sz w:val="16"/>
            <w:szCs w:val="16"/>
          </w:rPr>
          <w:t>2</w:t>
        </w:r>
        <w:r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10" w:anchor="_Toc17972293" w:history="1">
        <w:r w:rsidR="004B21B9" w:rsidRPr="006D0586">
          <w:rPr>
            <w:rStyle w:val="a3"/>
            <w:sz w:val="16"/>
            <w:szCs w:val="16"/>
          </w:rPr>
          <w:t>2. Քարագլուխ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բնակավայրի գյուղատնտեսական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նշանակության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հողերի կառուցվածքը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և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սեփականության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ձևերը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_Toc17972293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11" w:anchor="_Toc17972294" w:history="1">
        <w:r w:rsidR="004B21B9" w:rsidRPr="006D0586">
          <w:rPr>
            <w:rStyle w:val="a3"/>
            <w:sz w:val="16"/>
            <w:szCs w:val="16"/>
          </w:rPr>
          <w:t>3. Բնակավայրի անասնագլխաքանակն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ըստ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տնտեսությունների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և անասնակերի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պահանջը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_Toc17972294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12" w:anchor="_Toc17972295" w:history="1">
        <w:r w:rsidR="004B21B9" w:rsidRPr="006D0586">
          <w:rPr>
            <w:rStyle w:val="a3"/>
            <w:sz w:val="16"/>
            <w:szCs w:val="16"/>
          </w:rPr>
          <w:t>3.1 Անասնակերի պահանջի հաշվարկ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_Toc17972295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13" w:anchor="_Toc17972296" w:history="1">
        <w:r w:rsidR="004B21B9" w:rsidRPr="006D0586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_Toc17972296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21"/>
        <w:ind w:left="-180"/>
        <w:jc w:val="left"/>
        <w:rPr>
          <w:noProof/>
          <w:sz w:val="16"/>
          <w:szCs w:val="16"/>
        </w:rPr>
      </w:pPr>
      <w:hyperlink r:id="rId14" w:anchor="_Toc17972297" w:history="1"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4B21B9" w:rsidRPr="006D0586">
          <w:rPr>
            <w:rStyle w:val="a3"/>
            <w:noProof/>
            <w:webHidden/>
            <w:sz w:val="16"/>
            <w:szCs w:val="16"/>
          </w:rPr>
          <w:tab/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noProof/>
            <w:webHidden/>
            <w:sz w:val="16"/>
            <w:szCs w:val="16"/>
          </w:rPr>
          <w:instrText xml:space="preserve"> PAGEREF _Toc17972297 \h </w:instrText>
        </w:r>
        <w:r w:rsidR="004B21B9" w:rsidRPr="006D0586">
          <w:rPr>
            <w:rStyle w:val="a3"/>
            <w:noProof/>
            <w:webHidden/>
            <w:sz w:val="16"/>
            <w:szCs w:val="16"/>
          </w:rPr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5</w:t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15" w:anchor="_Toc17972298" w:history="1">
        <w:r w:rsidR="004B21B9" w:rsidRPr="006D0586">
          <w:rPr>
            <w:rStyle w:val="a3"/>
            <w:sz w:val="16"/>
            <w:szCs w:val="16"/>
          </w:rPr>
          <w:t>5. Ընթացիկ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կառավարում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ըստ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գոտու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արոտատեղամասերի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_Toc17972298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7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21"/>
        <w:ind w:left="-180"/>
        <w:jc w:val="left"/>
        <w:rPr>
          <w:noProof/>
          <w:sz w:val="16"/>
          <w:szCs w:val="16"/>
        </w:rPr>
      </w:pPr>
      <w:hyperlink r:id="rId16" w:anchor="_Toc17972299" w:history="1"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4B21B9" w:rsidRPr="006D0586">
          <w:rPr>
            <w:rStyle w:val="a3"/>
            <w:noProof/>
            <w:webHidden/>
            <w:sz w:val="16"/>
            <w:szCs w:val="16"/>
          </w:rPr>
          <w:tab/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noProof/>
            <w:webHidden/>
            <w:sz w:val="16"/>
            <w:szCs w:val="16"/>
          </w:rPr>
          <w:instrText xml:space="preserve"> PAGEREF _Toc17972299 \h </w:instrText>
        </w:r>
        <w:r w:rsidR="004B21B9" w:rsidRPr="006D0586">
          <w:rPr>
            <w:rStyle w:val="a3"/>
            <w:noProof/>
            <w:webHidden/>
            <w:sz w:val="16"/>
            <w:szCs w:val="16"/>
          </w:rPr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7</w:t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21"/>
        <w:ind w:left="-180"/>
        <w:jc w:val="left"/>
        <w:rPr>
          <w:noProof/>
          <w:sz w:val="16"/>
          <w:szCs w:val="16"/>
        </w:rPr>
      </w:pPr>
      <w:hyperlink r:id="rId17" w:anchor="_Toc17972300" w:history="1"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4B21B9" w:rsidRPr="006D0586">
          <w:rPr>
            <w:rStyle w:val="a3"/>
            <w:noProof/>
            <w:webHidden/>
            <w:sz w:val="16"/>
            <w:szCs w:val="16"/>
          </w:rPr>
          <w:tab/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noProof/>
            <w:webHidden/>
            <w:sz w:val="16"/>
            <w:szCs w:val="16"/>
          </w:rPr>
          <w:instrText xml:space="preserve"> PAGEREF _Toc17972300 \h </w:instrText>
        </w:r>
        <w:r w:rsidR="004B21B9" w:rsidRPr="006D0586">
          <w:rPr>
            <w:rStyle w:val="a3"/>
            <w:noProof/>
            <w:webHidden/>
            <w:sz w:val="16"/>
            <w:szCs w:val="16"/>
          </w:rPr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9</w:t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18" w:anchor="_Toc17972301" w:history="1">
        <w:r w:rsidR="004B21B9" w:rsidRPr="006D0586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ըստ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բնակլիմայական գոտիների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_Toc17972301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9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21"/>
        <w:ind w:left="-180"/>
        <w:jc w:val="left"/>
        <w:rPr>
          <w:noProof/>
          <w:sz w:val="16"/>
          <w:szCs w:val="16"/>
        </w:rPr>
      </w:pPr>
      <w:hyperlink r:id="rId19" w:anchor="_Toc17972302" w:history="1"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4B21B9" w:rsidRPr="006D0586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կերապահովմանտարածքներից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4B21B9" w:rsidRPr="006D0586">
          <w:rPr>
            <w:rStyle w:val="a3"/>
            <w:noProof/>
            <w:webHidden/>
            <w:sz w:val="16"/>
            <w:szCs w:val="16"/>
          </w:rPr>
          <w:tab/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noProof/>
            <w:webHidden/>
            <w:sz w:val="16"/>
            <w:szCs w:val="16"/>
          </w:rPr>
          <w:instrText xml:space="preserve"> PAGEREF _Toc17972302 \h </w:instrText>
        </w:r>
        <w:r w:rsidR="004B21B9" w:rsidRPr="006D0586">
          <w:rPr>
            <w:rStyle w:val="a3"/>
            <w:noProof/>
            <w:webHidden/>
            <w:sz w:val="16"/>
            <w:szCs w:val="16"/>
          </w:rPr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10</w:t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21"/>
        <w:ind w:left="-180"/>
        <w:jc w:val="left"/>
        <w:rPr>
          <w:noProof/>
          <w:sz w:val="16"/>
          <w:szCs w:val="16"/>
        </w:rPr>
      </w:pPr>
      <w:hyperlink r:id="rId20" w:anchor="_Toc17972303" w:history="1"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4B21B9" w:rsidRPr="006D0586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4B21B9" w:rsidRPr="006D0586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4B21B9" w:rsidRPr="006D0586">
          <w:rPr>
            <w:rStyle w:val="a3"/>
            <w:noProof/>
            <w:webHidden/>
            <w:sz w:val="16"/>
            <w:szCs w:val="16"/>
          </w:rPr>
          <w:tab/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noProof/>
            <w:webHidden/>
            <w:sz w:val="16"/>
            <w:szCs w:val="16"/>
          </w:rPr>
          <w:instrText xml:space="preserve"> PAGEREF _Toc17972303 \h </w:instrText>
        </w:r>
        <w:r w:rsidR="004B21B9" w:rsidRPr="006D0586">
          <w:rPr>
            <w:rStyle w:val="a3"/>
            <w:noProof/>
            <w:webHidden/>
            <w:sz w:val="16"/>
            <w:szCs w:val="16"/>
          </w:rPr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10</w:t>
        </w:r>
        <w:r w:rsidR="004B21B9" w:rsidRPr="006D0586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1" w:anchor="_Toc17972304" w:history="1">
        <w:r w:rsidR="004B21B9" w:rsidRPr="006D0586">
          <w:rPr>
            <w:rStyle w:val="a3"/>
            <w:sz w:val="16"/>
            <w:szCs w:val="16"/>
          </w:rPr>
          <w:t>7. Խոշոր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և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մանր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եղջերավոր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կենդանիների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արածեցման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համակարգ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_Toc17972304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2" w:anchor="_Toc17972305" w:history="1">
        <w:r w:rsidR="004B21B9" w:rsidRPr="006D0586">
          <w:rPr>
            <w:rStyle w:val="a3"/>
            <w:sz w:val="16"/>
            <w:szCs w:val="16"/>
          </w:rPr>
          <w:t>8. Մսուրային շրջանում կուտակվող կերեր (խոտի ապահովածությունը)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_Toc17972305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13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3" w:anchor="_Toc17972306" w:history="1">
        <w:r w:rsidR="004B21B9" w:rsidRPr="006D0586">
          <w:rPr>
            <w:rStyle w:val="a3"/>
            <w:sz w:val="16"/>
            <w:szCs w:val="16"/>
          </w:rPr>
          <w:t>9. Քարագլուխ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բնակավայրում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արոտատեղամասերի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բաշխվածության</w:t>
        </w:r>
        <w:r w:rsidR="004B21B9" w:rsidRPr="006D0586">
          <w:rPr>
            <w:rStyle w:val="a3"/>
            <w:rFonts w:cs="Cambria"/>
            <w:sz w:val="16"/>
            <w:szCs w:val="16"/>
          </w:rPr>
          <w:t xml:space="preserve"> </w:t>
        </w:r>
        <w:r w:rsidR="004B21B9" w:rsidRPr="006D0586">
          <w:rPr>
            <w:rStyle w:val="a3"/>
            <w:sz w:val="16"/>
            <w:szCs w:val="16"/>
          </w:rPr>
          <w:t>քարտեզ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_Toc17972306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15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4" w:anchor="_Toc17972307" w:history="1">
        <w:r w:rsidR="004B21B9" w:rsidRPr="006D0586">
          <w:rPr>
            <w:rStyle w:val="a3"/>
            <w:sz w:val="16"/>
            <w:szCs w:val="16"/>
          </w:rPr>
          <w:t>10. Քարագլուխ  բնակավայրում արոտատեղամասերի բաշխվածության գոտիականության քարտեզ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_Toc17972307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16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6D0586" w:rsidP="004B21B9">
      <w:pPr>
        <w:pStyle w:val="11"/>
        <w:ind w:left="-180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5" w:anchor="_Toc17972308" w:history="1">
        <w:r w:rsidR="004B21B9" w:rsidRPr="006D0586">
          <w:rPr>
            <w:rStyle w:val="a3"/>
            <w:sz w:val="16"/>
            <w:szCs w:val="16"/>
            <w:lang w:val="fr-FR"/>
          </w:rPr>
          <w:t xml:space="preserve">11. </w:t>
        </w:r>
        <w:r w:rsidR="004B21B9" w:rsidRPr="006D0586">
          <w:rPr>
            <w:rStyle w:val="a3"/>
            <w:sz w:val="16"/>
            <w:szCs w:val="16"/>
          </w:rPr>
          <w:t>Քարագլուխ</w:t>
        </w:r>
        <w:r w:rsidR="004B21B9" w:rsidRPr="006D0586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4B21B9" w:rsidRPr="006D0586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4B21B9" w:rsidRPr="006D0586">
          <w:rPr>
            <w:rStyle w:val="a3"/>
            <w:sz w:val="16"/>
            <w:szCs w:val="16"/>
            <w:lang w:val="fr-FR"/>
          </w:rPr>
          <w:t>արոտատեղամասերի</w:t>
        </w:r>
        <w:r w:rsidR="004B21B9" w:rsidRPr="006D0586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4B21B9" w:rsidRPr="006D0586">
          <w:rPr>
            <w:rStyle w:val="a3"/>
            <w:sz w:val="16"/>
            <w:szCs w:val="16"/>
            <w:lang w:val="fr-FR"/>
          </w:rPr>
          <w:t>արածեցման գրաֆիկ</w:t>
        </w:r>
        <w:r w:rsidR="004B21B9" w:rsidRPr="006D0586">
          <w:rPr>
            <w:rStyle w:val="a3"/>
            <w:webHidden/>
            <w:sz w:val="16"/>
            <w:szCs w:val="16"/>
          </w:rPr>
          <w:tab/>
        </w:r>
        <w:r w:rsidR="004B21B9" w:rsidRPr="006D0586">
          <w:rPr>
            <w:rStyle w:val="a3"/>
            <w:webHidden/>
            <w:sz w:val="16"/>
            <w:szCs w:val="16"/>
          </w:rPr>
          <w:fldChar w:fldCharType="begin"/>
        </w:r>
        <w:r w:rsidR="004B21B9" w:rsidRPr="006D0586">
          <w:rPr>
            <w:rStyle w:val="a3"/>
            <w:webHidden/>
            <w:sz w:val="16"/>
            <w:szCs w:val="16"/>
          </w:rPr>
          <w:instrText xml:space="preserve"> PAGEREF _Toc17972308 \h </w:instrText>
        </w:r>
        <w:r w:rsidR="004B21B9" w:rsidRPr="006D0586">
          <w:rPr>
            <w:rStyle w:val="a3"/>
            <w:webHidden/>
            <w:sz w:val="16"/>
            <w:szCs w:val="16"/>
          </w:rPr>
        </w:r>
        <w:r w:rsidR="004B21B9" w:rsidRPr="006D0586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4B21B9" w:rsidRPr="006D0586">
          <w:rPr>
            <w:rStyle w:val="a3"/>
            <w:webHidden/>
            <w:sz w:val="16"/>
            <w:szCs w:val="16"/>
          </w:rPr>
          <w:fldChar w:fldCharType="end"/>
        </w:r>
      </w:hyperlink>
    </w:p>
    <w:p w:rsidR="004B21B9" w:rsidRPr="006D0586" w:rsidRDefault="004B21B9" w:rsidP="004B21B9">
      <w:pPr>
        <w:spacing w:line="360" w:lineRule="auto"/>
        <w:ind w:left="-180"/>
        <w:rPr>
          <w:rFonts w:ascii="Sylfaen" w:hAnsi="Sylfaen"/>
          <w:color w:val="auto"/>
          <w:sz w:val="16"/>
          <w:szCs w:val="16"/>
        </w:rPr>
      </w:pPr>
      <w:r w:rsidRPr="006D0586">
        <w:rPr>
          <w:rFonts w:ascii="Sylfaen" w:hAnsi="Sylfaen"/>
          <w:color w:val="auto"/>
          <w:sz w:val="16"/>
          <w:szCs w:val="16"/>
        </w:rPr>
        <w:fldChar w:fldCharType="end"/>
      </w:r>
    </w:p>
    <w:p w:rsidR="004B21B9" w:rsidRPr="006D0586" w:rsidRDefault="004B21B9" w:rsidP="004B21B9">
      <w:pPr>
        <w:spacing w:line="360" w:lineRule="auto"/>
        <w:jc w:val="both"/>
        <w:rPr>
          <w:rFonts w:ascii="Sylfaen" w:hAnsi="Sylfaen"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4B21B9" w:rsidRPr="006D0586">
          <w:pgSz w:w="11907" w:h="16840"/>
          <w:pgMar w:top="1440" w:right="1440" w:bottom="1440" w:left="1620" w:header="709" w:footer="843" w:gutter="0"/>
          <w:pgNumType w:start="1" w:chapStyle="1"/>
          <w:cols w:space="720"/>
        </w:sectPr>
      </w:pP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0" w:name="_Toc17972292"/>
      <w:bookmarkStart w:id="1" w:name="_Toc524700596"/>
      <w:r w:rsidRPr="006D0586">
        <w:rPr>
          <w:rFonts w:ascii="Sylfaen" w:hAnsi="Sylfaen" w:cs="Sylfaen"/>
          <w:sz w:val="16"/>
          <w:szCs w:val="16"/>
        </w:rPr>
        <w:lastRenderedPageBreak/>
        <w:t>1. Ներածություն</w:t>
      </w:r>
      <w:bookmarkEnd w:id="0"/>
      <w:bookmarkEnd w:id="1"/>
    </w:p>
    <w:p w:rsidR="004B21B9" w:rsidRPr="006D0586" w:rsidRDefault="004B21B9" w:rsidP="004B21B9">
      <w:pPr>
        <w:spacing w:line="360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Քարագլուխ բնակավայրը ունի 821 բնակիչ և 188 տնային տնտեսություն: Բնակավայրը գտնվում է ՀՀ Վայոց Ձոր մարզի Եղեգնաձորի տարածաշրջանի Եղեգիս համայնքում: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 և կարտոֆիլ: Անասնապահության ոլորտում տնտեսություն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6D0586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անասնագլխաքանակի և սեռահասակային կազմի վերաբերյալ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), առ 29.01.19թ. բնակավայրում հաշվառված է  519 գլուխ տարբեր սեռահասակային խմբերի խոշոր եղջերավոր, 497 գլուխ մանր եղջերավոր (ոչխար, այծեր, ուլեր և գառներ), 6 գլուխ ձիեր և 1 գլուխ ավանակ: Քարագլուխ բնակավայրում 2018թ. արտադրվել է մոտ 18150 կգ տավարի և 2600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 փոփոխությամբ, պայմանավորված իրացված անասնագլխով):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10%-ի (10 տնտեսություն) հետ հարցումներով պարզվել է, որ մեկ կովի տարեկան միջին կաթնատվությունը կազմում է միջինը 1700 լիտր, համաձայն այս ցուցանիշի, համայնքում արտադրվել է շուրջ 294100 (173 կով x 1700 լիտր) լիտր կաթ: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15-20%-ով, իսկ արտադրվող մսի քանակությունը շուրջ 12-15%-ով: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 ուշադրություն է դարձվում գյուղական բնակավայրերում առկա բազմաթիվ 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 ֆերմերային տնտեսությունների եկամուտների բարձրացմանը:</w:t>
      </w:r>
    </w:p>
    <w:p w:rsidR="004B21B9" w:rsidRPr="006D0586" w:rsidRDefault="004B21B9" w:rsidP="004B21B9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2" w:name="_Toc402354605"/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3" w:name="_Toc17972293"/>
      <w:bookmarkStart w:id="4" w:name="_Toc524700597"/>
      <w:r w:rsidRPr="006D0586">
        <w:rPr>
          <w:rFonts w:ascii="Sylfaen" w:hAnsi="Sylfaen"/>
          <w:sz w:val="16"/>
          <w:szCs w:val="16"/>
        </w:rPr>
        <w:t xml:space="preserve">2. </w:t>
      </w:r>
      <w:r w:rsidRPr="006D0586">
        <w:rPr>
          <w:rFonts w:ascii="Sylfaen" w:hAnsi="Sylfaen" w:cs="Sylfaen"/>
          <w:sz w:val="16"/>
          <w:szCs w:val="16"/>
        </w:rPr>
        <w:t>Քարագլուխ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բնակավայրի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գյուղատնտեսական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նշանակության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հողերի կառուցվածքը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և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սեփականության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ձևերը</w:t>
      </w:r>
      <w:bookmarkEnd w:id="2"/>
      <w:bookmarkEnd w:id="3"/>
      <w:bookmarkEnd w:id="4"/>
    </w:p>
    <w:p w:rsidR="004B21B9" w:rsidRPr="006D0586" w:rsidRDefault="004B21B9" w:rsidP="004B21B9">
      <w:pPr>
        <w:spacing w:line="360" w:lineRule="auto"/>
        <w:rPr>
          <w:rFonts w:ascii="Sylfaen" w:hAnsi="Sylfaen"/>
          <w:color w:val="FF000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Քարագլուխ բնակավայրի հողային ֆոնդի առկայության և բաշխման մասին հաշվետվության (ձև 22), բնակավայրի վարչական տարածքը զբաղեցնում է շուրջ 2752.41հա, որտեղ ըստ նպատակային նշանակության գյուղատնտեսական հողատեսքերը, ներառյալ տնամերձ հողերը, կազմում են </w:t>
      </w:r>
      <w:r w:rsidRPr="006D0586">
        <w:rPr>
          <w:rFonts w:ascii="Sylfaen" w:hAnsi="Sylfaen"/>
          <w:color w:val="auto"/>
          <w:sz w:val="16"/>
          <w:szCs w:val="16"/>
        </w:rPr>
        <w:t>2599.83+80.57=2680.4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 (աղյուսակ 1): Գյուղատնտեսական նշանակության հողատեսքերի միայն 18.67%-ն հանդիսանում է պետական սեփականություն, իսկ 81.33%-ը համայնքային և համայնքի բնակիչների մասնավոր սեփականությունն է: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հողատեսքերի 28.3%-ը կազմում են բնական արոտները, որի շուրջ 45.7%-ը պետական սեփականություն է: </w:t>
      </w:r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Քարագլուխ բնակավայրում</w:t>
      </w:r>
    </w:p>
    <w:tbl>
      <w:tblPr>
        <w:tblW w:w="7812" w:type="dxa"/>
        <w:jc w:val="center"/>
        <w:tblInd w:w="1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1071"/>
        <w:gridCol w:w="1320"/>
        <w:gridCol w:w="1604"/>
        <w:gridCol w:w="1319"/>
      </w:tblGrid>
      <w:tr w:rsidR="004B21B9" w:rsidRPr="006D0586" w:rsidTr="004B21B9">
        <w:trPr>
          <w:trHeight w:val="64"/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4B21B9" w:rsidRPr="006D0586" w:rsidTr="004B21B9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305.40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175.90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129.50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0.60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55.38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55.38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  <w:bookmarkStart w:id="5" w:name="_GoBack"/>
            <w:bookmarkEnd w:id="5"/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736.81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400.04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336.77</w:t>
            </w:r>
          </w:p>
        </w:tc>
      </w:tr>
      <w:tr w:rsidR="004B21B9" w:rsidRPr="006D0586" w:rsidTr="004B21B9">
        <w:trPr>
          <w:trHeight w:val="208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400.04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400.04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336.77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336.77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1501.64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1352.98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148.66</w:t>
            </w:r>
          </w:p>
        </w:tc>
      </w:tr>
      <w:tr w:rsidR="004B21B9" w:rsidRPr="006D0586" w:rsidTr="004B21B9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2599.83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176.50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1937.90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485.43</w:t>
            </w:r>
          </w:p>
        </w:tc>
      </w:tr>
    </w:tbl>
    <w:p w:rsidR="004B21B9" w:rsidRPr="006D0586" w:rsidRDefault="004B21B9" w:rsidP="004B21B9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" w:name="_Toc402354606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Քարագլուխ բնակավայրում առկա են 736.81 հա արոտային տարածքներ, իսկ խոշոր և մանր եղջերավոր անասունների քանակը, ինչպես ցույց կտրվի հետագայում (աղյուսակ 11), կազմում է 411 պայմանական գլուխ (ՊԳ), այսինքն 1 ՊԳ-ին համայնքում առկա է շուրջ 1.8 հա արոտային տարածք, որը բավարարում է «Արոտների և խոտհարքների օգտագործման կարգի» վերաբերյալ ՀՀ Կառավարության 2011թ. № 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կառվարման կարգերի գործարկումը: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7" w:name="_Toc17972294"/>
      <w:bookmarkStart w:id="8" w:name="_Toc524700598"/>
      <w:r w:rsidRPr="006D0586">
        <w:rPr>
          <w:rFonts w:ascii="Sylfaen" w:hAnsi="Sylfaen"/>
          <w:sz w:val="16"/>
          <w:szCs w:val="16"/>
        </w:rPr>
        <w:t xml:space="preserve">3. </w:t>
      </w:r>
      <w:r w:rsidRPr="006D0586">
        <w:rPr>
          <w:rFonts w:ascii="Sylfaen" w:hAnsi="Sylfaen" w:cs="Sylfaen"/>
          <w:sz w:val="16"/>
          <w:szCs w:val="16"/>
        </w:rPr>
        <w:t>Բնակավայրի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անասնագլխաքանակն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ըստ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տնտեսությունների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և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անասնակերի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պահանջը</w:t>
      </w:r>
      <w:bookmarkEnd w:id="6"/>
      <w:bookmarkEnd w:id="7"/>
      <w:bookmarkEnd w:id="8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Քարագլուխ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98 տնտեսություններ զբաղված են խոշոր եղջերավոր անասունների (ԽԵԿ) պահվածքով, 35 տնտեսություններ նաև մանր եղջերավոր անասունների (ՄԵԿ), մասնավորապես բալբաս և կիսակոպտաբուրդ ցեղատեսակներին պատկանող ոչխարների պահվածքով, 14 տնտեսություններ զբաղվում են նաև խոզաբուծությամբ: Այսպիսով, բնակավայրում առկա է 519 գլուխ ԽԵԿ և 497 գլուխ ՄԵԿ` ոչխար, այծեր և գառներ, որոնք կերակրվում են բնակավայրի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14.2 %-ը (աղ. 2):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720"/>
        <w:jc w:val="both"/>
        <w:rPr>
          <w:rFonts w:ascii="Sylfaen" w:hAnsi="Sylfaen"/>
          <w:color w:val="auto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ավելացմանը:</w:t>
      </w:r>
      <w:r w:rsidRPr="006D0586">
        <w:rPr>
          <w:rFonts w:ascii="Sylfaen" w:hAnsi="Sylfaen"/>
          <w:color w:val="auto"/>
          <w:sz w:val="16"/>
          <w:szCs w:val="16"/>
        </w:rPr>
        <w:t xml:space="preserve">       </w:t>
      </w: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6D0586">
        <w:rPr>
          <w:rFonts w:ascii="Sylfaen" w:hAnsi="Sylfaen"/>
          <w:color w:val="auto"/>
          <w:sz w:val="16"/>
          <w:szCs w:val="16"/>
        </w:rPr>
        <w:t xml:space="preserve">       </w:t>
      </w: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6D0586">
        <w:rPr>
          <w:rFonts w:ascii="Sylfaen" w:hAnsi="Sylfaen"/>
          <w:color w:val="auto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tbl>
      <w:tblPr>
        <w:tblW w:w="9210" w:type="dxa"/>
        <w:jc w:val="center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523"/>
        <w:gridCol w:w="1689"/>
        <w:gridCol w:w="1538"/>
        <w:gridCol w:w="1532"/>
        <w:gridCol w:w="1528"/>
      </w:tblGrid>
      <w:tr w:rsidR="004B21B9" w:rsidRPr="006D0586" w:rsidTr="004B21B9">
        <w:trPr>
          <w:trHeight w:val="1242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bookmarkStart w:id="9" w:name="_Toc402354607"/>
            <w:r w:rsidRPr="006D0586">
              <w:rPr>
                <w:rFonts w:ascii="Sylfaen" w:hAnsi="Sylfaen" w:cs="Sylfaen"/>
                <w:color w:val="FF0000"/>
                <w:sz w:val="16"/>
                <w:szCs w:val="16"/>
              </w:rPr>
              <w:t xml:space="preserve"> 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Խոզերի քանակը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</w:tr>
      <w:tr w:rsidR="004B21B9" w:rsidRPr="006D0586" w:rsidTr="004B21B9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</w:tr>
      <w:tr w:rsidR="004B21B9" w:rsidRPr="006D0586" w:rsidTr="004B21B9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4B21B9" w:rsidRPr="006D0586" w:rsidTr="004B21B9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4B21B9" w:rsidRPr="006D0586" w:rsidTr="004B21B9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 և ավելի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 և ավելի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4B21B9" w:rsidRPr="006D0586" w:rsidTr="004B21B9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</w:tr>
    </w:tbl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 w:cs="Sylfaen"/>
          <w:color w:val="FF0000"/>
          <w:sz w:val="16"/>
          <w:szCs w:val="16"/>
        </w:rPr>
      </w:pPr>
      <w:bookmarkStart w:id="10" w:name="_Toc524700599"/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1" w:name="_Toc17972295"/>
      <w:r w:rsidRPr="006D0586">
        <w:rPr>
          <w:rFonts w:ascii="Sylfaen" w:hAnsi="Sylfaen"/>
          <w:sz w:val="16"/>
          <w:szCs w:val="16"/>
        </w:rPr>
        <w:t xml:space="preserve">3.1 </w:t>
      </w:r>
      <w:r w:rsidRPr="006D0586">
        <w:rPr>
          <w:rFonts w:ascii="Sylfaen" w:hAnsi="Sylfaen" w:cs="Sylfaen"/>
          <w:sz w:val="16"/>
          <w:szCs w:val="16"/>
        </w:rPr>
        <w:t>Անասնակերի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պահանջի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հաշվարկ</w:t>
      </w:r>
      <w:bookmarkEnd w:id="9"/>
      <w:bookmarkEnd w:id="10"/>
      <w:bookmarkEnd w:id="11"/>
    </w:p>
    <w:p w:rsidR="004B21B9" w:rsidRPr="006D0586" w:rsidRDefault="004B21B9" w:rsidP="004B21B9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2.5 %-ի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(մայիսի առաջին տասնօրյակից  մինչև նոյեմբերի առաջին տասնօրյակը), իսկ մանր եղջերավորի (ոչխարի) արոտային շրջանը կազմում է 250 օր (ապրիլի առաջին տասնօրյակից մինչև դեկտեմբերի առաջին տասնօրյակը, գառների համար`210 օր (մայիսի առաջին տասնօրյակից մինչև դեկտեմբերի առաջին տասնօրյակը): Ինչպես երևում է աղյուսակ  3-ում բերված տվյալներից, բնակավայրում հաշվառված որոճող գյուղատնտեսական կենդանիների ՉԶ-ի ընդհանուր օրական պահանջը կազմում է 4152.3 կգ, որի 85.5%-ը բաժին է ընկնում խոշոր եղջերավոր կենդանիներին: Արոտային շրջանում առկա անասնագլխի արոտակերի պահանջը կազմում է 809621.1 կգ, (809.6տ), իսկ մսուրային ժամանակահատվածի համար 717843.5 կգ, (717.8 տ):</w:t>
      </w:r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4B21B9" w:rsidRPr="006D0586" w:rsidRDefault="004B21B9" w:rsidP="004B21B9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4B21B9" w:rsidRPr="006D0586" w:rsidTr="004B21B9">
        <w:trPr>
          <w:trHeight w:val="20"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4B21B9" w:rsidRPr="006D0586" w:rsidTr="004B21B9">
        <w:trPr>
          <w:trHeight w:val="53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190 օր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- 250օր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-175օր 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ՄԵԿ-115օր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328700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302750</w:t>
            </w:r>
          </w:p>
        </w:tc>
      </w:tr>
      <w:tr w:rsidR="004B21B9" w:rsidRPr="006D0586" w:rsidTr="004B21B9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760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144400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133000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412.5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66000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84562.5</w:t>
            </w:r>
          </w:p>
        </w:tc>
      </w:tr>
      <w:tr w:rsidR="004B21B9" w:rsidRPr="006D0586" w:rsidTr="004B21B9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220.5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41895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38587.5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51300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47250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160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30400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28000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276.2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69062.5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31763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197.5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49375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34562.5</w:t>
            </w:r>
          </w:p>
        </w:tc>
      </w:tr>
      <w:tr w:rsidR="004B21B9" w:rsidRPr="006D0586" w:rsidTr="004B21B9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73.1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15363.6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11330.5</w:t>
            </w:r>
          </w:p>
        </w:tc>
      </w:tr>
      <w:tr w:rsidR="004B21B9" w:rsidRPr="006D0586" w:rsidTr="004B21B9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52.5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13125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6037.5</w:t>
            </w:r>
          </w:p>
        </w:tc>
      </w:tr>
      <w:tr w:rsidR="004B21B9" w:rsidRPr="006D0586" w:rsidTr="004B21B9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4152.3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809621.1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717843.5</w:t>
            </w:r>
          </w:p>
        </w:tc>
      </w:tr>
    </w:tbl>
    <w:p w:rsidR="004B21B9" w:rsidRPr="006D0586" w:rsidRDefault="004B21B9" w:rsidP="004B21B9">
      <w:pPr>
        <w:rPr>
          <w:rFonts w:ascii="Sylfaen" w:hAnsi="Sylfaen"/>
          <w:sz w:val="16"/>
          <w:szCs w:val="16"/>
        </w:rPr>
      </w:pPr>
      <w:bookmarkStart w:id="12" w:name="_Toc402354608"/>
      <w:bookmarkStart w:id="13" w:name="_Toc524700600"/>
      <w:r w:rsidRPr="006D0586">
        <w:rPr>
          <w:rFonts w:ascii="Sylfaen" w:hAnsi="Sylfaen" w:cs="Sylfaen"/>
          <w:b/>
          <w:sz w:val="16"/>
          <w:szCs w:val="16"/>
        </w:rPr>
        <w:t>Ծանոթություն</w:t>
      </w:r>
      <w:r w:rsidRPr="006D0586">
        <w:rPr>
          <w:rFonts w:ascii="Sylfaen" w:hAnsi="Sylfaen"/>
          <w:sz w:val="16"/>
          <w:szCs w:val="16"/>
        </w:rPr>
        <w:t xml:space="preserve">` </w:t>
      </w:r>
      <w:r w:rsidRPr="006D0586">
        <w:rPr>
          <w:rFonts w:ascii="Sylfaen" w:hAnsi="Sylfaen" w:cs="Sylfaen"/>
          <w:sz w:val="16"/>
          <w:szCs w:val="16"/>
        </w:rPr>
        <w:t>գառների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արոտային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շրջանը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կազմում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է</w:t>
      </w:r>
      <w:r w:rsidRPr="006D0586">
        <w:rPr>
          <w:rFonts w:ascii="Sylfaen" w:hAnsi="Sylfaen"/>
          <w:sz w:val="16"/>
          <w:szCs w:val="16"/>
        </w:rPr>
        <w:t xml:space="preserve"> 210 </w:t>
      </w:r>
      <w:r w:rsidRPr="006D0586">
        <w:rPr>
          <w:rFonts w:ascii="Sylfaen" w:hAnsi="Sylfaen" w:cs="Sylfaen"/>
          <w:sz w:val="16"/>
          <w:szCs w:val="16"/>
        </w:rPr>
        <w:t>օր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մայիսի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առաջին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տասնօրյակից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մինջև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դեկտեմբերի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առաջին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տասնօրյակը</w:t>
      </w:r>
    </w:p>
    <w:p w:rsidR="004B21B9" w:rsidRPr="006D0586" w:rsidRDefault="004B21B9" w:rsidP="004B21B9">
      <w:pPr>
        <w:pStyle w:val="1"/>
        <w:spacing w:before="0" w:after="0" w:line="360" w:lineRule="auto"/>
        <w:rPr>
          <w:rFonts w:ascii="Sylfaen" w:hAnsi="Sylfaen"/>
          <w:sz w:val="16"/>
          <w:szCs w:val="16"/>
        </w:rPr>
      </w:pP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/>
          <w:b w:val="0"/>
          <w:sz w:val="16"/>
          <w:szCs w:val="16"/>
        </w:rPr>
      </w:pPr>
      <w:bookmarkStart w:id="14" w:name="_Toc17972296"/>
      <w:r w:rsidRPr="006D0586">
        <w:rPr>
          <w:rFonts w:ascii="Sylfaen" w:hAnsi="Sylfaen"/>
          <w:sz w:val="16"/>
          <w:szCs w:val="16"/>
        </w:rPr>
        <w:t xml:space="preserve">4. </w:t>
      </w:r>
      <w:r w:rsidRPr="006D0586">
        <w:rPr>
          <w:rFonts w:ascii="Sylfaen" w:hAnsi="Sylfaen" w:cs="Sylfaen"/>
          <w:sz w:val="16"/>
          <w:szCs w:val="16"/>
        </w:rPr>
        <w:t>Բնակավայրի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ֆիզիկաաշխարհագրական</w:t>
      </w:r>
      <w:bookmarkStart w:id="15" w:name="_Toc402354609"/>
      <w:bookmarkEnd w:id="12"/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առանձնահատկությունները</w:t>
      </w:r>
      <w:bookmarkEnd w:id="13"/>
      <w:bookmarkEnd w:id="14"/>
      <w:bookmarkEnd w:id="15"/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Քարագլուխ բնակավայրը աշխարհագրական տեղադրվածությամբ գտնվում է ՀՀ Վայոց Ձոր մարզի Եղեգնաձորի տարածաշրջանում, ծովի մակարդակից շուրջ 1670 մ բարձրության վրա: Բնակավայրի վարչական տարածքը տարածված է Վարդենիսի  լեռների  հարավ-արևմտյան կողմնադրման լանջերի ցածրադիր, միջին և վերին բարձրության սարավանդներում, ծովի մակարդակից 1600 մ-ից մինչև 3100 մ բարձրությունները, ներառնվելով հետևյալ բնական լանդշաֆտային գոտիներում՝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6D0586">
        <w:rPr>
          <w:rFonts w:ascii="Sylfaen" w:hAnsi="Sylfaen"/>
          <w:bCs w:val="0"/>
          <w:spacing w:val="0"/>
          <w:sz w:val="16"/>
          <w:szCs w:val="16"/>
        </w:rPr>
        <w:t>լեռնատա</w:t>
      </w:r>
      <w:r w:rsidRPr="006D0586">
        <w:rPr>
          <w:rFonts w:ascii="Sylfaen" w:hAnsi="Sylfaen"/>
          <w:bCs w:val="0"/>
          <w:spacing w:val="0"/>
          <w:sz w:val="16"/>
          <w:szCs w:val="16"/>
        </w:rPr>
        <w:softHyphen/>
        <w:t>փաս</w:t>
      </w:r>
      <w:r w:rsidRPr="006D0586">
        <w:rPr>
          <w:rFonts w:ascii="Sylfaen" w:hAnsi="Sylfaen"/>
          <w:bCs w:val="0"/>
          <w:spacing w:val="0"/>
          <w:sz w:val="16"/>
          <w:szCs w:val="16"/>
        </w:rPr>
        <w:softHyphen/>
        <w:t>տանային</w:t>
      </w:r>
      <w:proofErr w:type="gramEnd"/>
      <w:r w:rsidRPr="006D0586">
        <w:rPr>
          <w:rFonts w:ascii="Sylfaen" w:hAnsi="Sylfaen"/>
          <w:bCs w:val="0"/>
          <w:spacing w:val="0"/>
          <w:sz w:val="16"/>
          <w:szCs w:val="16"/>
        </w:rPr>
        <w:t xml:space="preserve"> գոտի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</w:t>
      </w:r>
      <w:r w:rsidRPr="006D0586">
        <w:rPr>
          <w:rFonts w:ascii="Sylfaen" w:hAnsi="Sylfaen"/>
          <w:bCs w:val="0"/>
          <w:spacing w:val="0"/>
          <w:sz w:val="16"/>
          <w:szCs w:val="16"/>
        </w:rPr>
        <w:t>( ծ.մ.1600-2300 մ),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բ)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     ( ծ.մ.2300-2700 մ), 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               ( ծ.մ.2700-3100 մ),  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 հողեր): Հողերի քարքարոտվածությունը բարձրադիր մասերւոմ բարձր է և կազմում է 15-19 %: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spacing w:val="0"/>
          <w:sz w:val="16"/>
          <w:szCs w:val="16"/>
        </w:rPr>
        <w:t xml:space="preserve">ա) Լեռնատափաստանային գոտին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6D0586">
        <w:rPr>
          <w:rFonts w:ascii="Sylfaen" w:hAnsi="Sylfaen"/>
          <w:bCs w:val="0"/>
          <w:spacing w:val="0"/>
          <w:sz w:val="16"/>
          <w:szCs w:val="16"/>
        </w:rPr>
        <w:t>2300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մ. բարձրությամբ: Կլիման բարեխառն լեռնային է, տաք ամառ և ցուրտ ձմեռ, կայուն ձնածածկույթով: Ամենաբարձր դրական ջերմաստիճանը ամռանը կազմում է +38,0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4B21B9" w:rsidRPr="006D0586" w:rsidRDefault="004B21B9" w:rsidP="004B21B9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400-450 մմ: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4-5%: Հողածածկը միջին քարքարոտությամբ, հզորությունը մինջև 18-25 սմ: 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տափաստանային է: Բնական բուսածածկոցում ամենուրեք գերիշխում են տարբեր սիզախոտեր, շյուղախոտեր, ոզնախոտը, ցորնուկը, դաշտավլուկը, սեզը, սիզախոտը, դաշտամոլախոտային վիկերը, հազարատերևուկը, օշինդրերը, իշակաթնուկը և այլն: Մեծ թեքությամբ լանջերին հանդիպում են 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Բուսածածկում հիմնականում գերակշռում են քսերոմեզոֆիտ տեսակները, որի պատճառով առաջացել են կերհանդակների քիչ տիպեր, որոնք հիմնականում օգտագործվում են որպես արոտավայրեր: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 w:cs="Sylfaen"/>
          <w:sz w:val="16"/>
          <w:szCs w:val="16"/>
        </w:rPr>
      </w:pPr>
      <w:r w:rsidRPr="006D0586">
        <w:rPr>
          <w:rFonts w:ascii="Sylfaen" w:hAnsi="Sylfaen"/>
          <w:b/>
          <w:bCs w:val="0"/>
          <w:spacing w:val="0"/>
          <w:sz w:val="16"/>
          <w:szCs w:val="16"/>
        </w:rPr>
        <w:t>բ) Մերձալպյան գոտի</w:t>
      </w:r>
      <w:bookmarkStart w:id="16" w:name="_Toc524700601"/>
      <w:bookmarkStart w:id="17" w:name="_Toc402354610"/>
      <w:r w:rsidRPr="006D0586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 մ բարձրությունները: Բնական գործընթացներն այստեղ ընթանում են ցածր ջերմաստիճանների և համեմատաբար առատ խոնավության պայմաններում: Ձմեռն այստեղ տևական է (4-4.5 ամիս) և միջին ձնառատությամբ: Ձմռան ամիսներին օդի միջին ջերմաստիճանը -12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550-650 մմ: Գոտին բնութագրվում է բավականին բարձր բուսապատվածությամբ և հարուստ տեսակային կազմերով, հանդիպում են շուրջ 75-85 տեսակներ: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գ) Բարձր լեռնային ալպյան լեռնամարգագետնային գոտի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ընդգրկում է Վարդենիսի լեռնաշխթայի հարավ-արևմտյան կողմնադրության բարձրադիր լանջերը՝ 2700-3100 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8-12 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pStyle w:val="2"/>
        <w:spacing w:before="0" w:after="0" w:line="360" w:lineRule="auto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8" w:name="_Toc17972297"/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6"/>
      <w:bookmarkEnd w:id="17"/>
      <w:bookmarkEnd w:id="18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color w:val="auto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Քարագլուխ բնակավայրի վարչական տարածքում բ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736.81 հա,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</w:t>
      </w: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4</w:t>
      </w:r>
    </w:p>
    <w:p w:rsidR="004B21B9" w:rsidRPr="006D0586" w:rsidRDefault="004B21B9" w:rsidP="004B21B9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4B21B9" w:rsidRPr="006D0586" w:rsidRDefault="004B21B9" w:rsidP="004B21B9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1"/>
        <w:gridCol w:w="1418"/>
        <w:gridCol w:w="1277"/>
        <w:gridCol w:w="1277"/>
        <w:gridCol w:w="1418"/>
      </w:tblGrid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4B21B9" w:rsidRPr="006D0586" w:rsidTr="004B21B9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Սալի այգիներ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Սալի հետև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Թախչիկ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Ածուխի ձոր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Քարատեղ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Խաչքարի վերև-1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Խաչքարի վերև-2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Կշի բուն-1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Կշի բուն-2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Սալեցու սար-1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92.46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Սալեցու սար-2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61.48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Սալեցու սար-3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63.47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Սալեցու սար-4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Սալեցու սար-5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66.15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Սալեցու սար-6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</w:tbl>
    <w:p w:rsidR="004B21B9" w:rsidRPr="006D0586" w:rsidRDefault="004B21B9" w:rsidP="004B21B9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 </w:t>
      </w:r>
    </w:p>
    <w:p w:rsidR="004B21B9" w:rsidRPr="006D0586" w:rsidRDefault="004B21B9" w:rsidP="004B21B9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լեռնատափաստանային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, 2- մերձալպյան, 3-ալպյան լեռնամարգագետնային:</w:t>
      </w:r>
    </w:p>
    <w:p w:rsidR="004B21B9" w:rsidRPr="006D0586" w:rsidRDefault="004B21B9" w:rsidP="004B21B9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13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spacing w:val="0"/>
          <w:sz w:val="16"/>
          <w:szCs w:val="16"/>
        </w:rPr>
        <w:t xml:space="preserve">Լեռնատափաստանային </w:t>
      </w:r>
      <w:r w:rsidRPr="006D0586">
        <w:rPr>
          <w:rFonts w:ascii="Sylfaen" w:hAnsi="Sylfaen"/>
          <w:bCs w:val="0"/>
          <w:spacing w:val="0"/>
          <w:sz w:val="16"/>
          <w:szCs w:val="16"/>
        </w:rPr>
        <w:t>լանդշաֆտային գոտում է գտնվում արոտավայրերի 42.85</w:t>
      </w:r>
      <w:r w:rsidRPr="006D0586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6D0586">
        <w:rPr>
          <w:rFonts w:ascii="Sylfaen" w:hAnsi="Sylfaen"/>
          <w:bCs w:val="0"/>
          <w:spacing w:val="0"/>
          <w:sz w:val="16"/>
          <w:szCs w:val="16"/>
        </w:rPr>
        <w:t>(315.72),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6D0586">
        <w:rPr>
          <w:rFonts w:ascii="Sylfaen" w:hAnsi="Sylfaen"/>
          <w:bCs w:val="0"/>
          <w:spacing w:val="0"/>
          <w:sz w:val="16"/>
          <w:szCs w:val="16"/>
        </w:rPr>
        <w:t xml:space="preserve"> առանձնացվել է Սալի այգիներ, Սալի հետև, Թախչիկ, Ածուխի ձոր, Խաչքարի վերև-1: 2, Կշի բուն-1: 2 արոտավայրերն ու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Քարատեղ  արոտատեղամասի ցածրադիր հատվածները:</w:t>
      </w:r>
      <w:r w:rsidRPr="006D0586">
        <w:rPr>
          <w:rFonts w:ascii="Sylfaen" w:hAnsi="Sylfaen"/>
          <w:bCs w:val="0"/>
          <w:spacing w:val="0"/>
          <w:sz w:val="16"/>
          <w:szCs w:val="16"/>
        </w:rPr>
        <w:t xml:space="preserve"> Այս արոտավայրերին բնորոշ է քարքարոտության միջին աստիճան, մինջև 7-15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6D0586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համայնքամերձ այս արոտատեղում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 տարածվածությունը (0.6-1.4%), արոտատեղամասերում միջին բուսապատվածությունն կազմում է </w:t>
      </w:r>
      <w:r w:rsidRPr="006D0586">
        <w:rPr>
          <w:rFonts w:ascii="Sylfaen" w:hAnsi="Sylfaen"/>
          <w:bCs w:val="0"/>
          <w:spacing w:val="0"/>
          <w:sz w:val="16"/>
          <w:szCs w:val="16"/>
        </w:rPr>
        <w:t>68-75</w:t>
      </w:r>
      <w:r w:rsidRPr="006D0586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%: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Բուսակացքը տեսակային կազմերով հարուստ չէ, առավելապես գերակշռում են չափավոր խոնավասեր և չորադիմացկուն տեսակները</w:t>
      </w:r>
      <w:r w:rsidRPr="006D0586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: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արոտատեղամասում առկա է վարընթաց զարգացում,  բավականին բարձր են արոտի դեգրադացիայի </w:t>
      </w:r>
      <w:r w:rsidRPr="006D0586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ԱԴՑ)  և էրոզիայի հակվածության </w:t>
      </w:r>
      <w:r w:rsidRPr="006D0586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ԷՀՑ) ցուցանիշները: Միջին ռիսկային արոտավայր է համաձայն արոտի իրավիճակի ցուցանիշի </w:t>
      </w:r>
      <w:r w:rsidRPr="006D0586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 արոտավայրերի շատ փոքր հատված` </w:t>
      </w:r>
      <w:r w:rsidRPr="006D0586">
        <w:rPr>
          <w:rFonts w:ascii="Sylfaen" w:hAnsi="Sylfaen"/>
          <w:bCs w:val="0"/>
          <w:spacing w:val="0"/>
          <w:sz w:val="16"/>
          <w:szCs w:val="16"/>
        </w:rPr>
        <w:t>2.77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6D0586">
        <w:rPr>
          <w:rFonts w:ascii="Sylfaen" w:hAnsi="Sylfaen"/>
          <w:bCs w:val="0"/>
          <w:spacing w:val="0"/>
          <w:sz w:val="16"/>
          <w:szCs w:val="16"/>
        </w:rPr>
        <w:t xml:space="preserve"> (20.41 հա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 , առանձնացվել է Քարատեղ արոտավայրի բարձրադիր հատվածները: Էկոլոգիական գնահատման տեսակետից այս տեղամասին բնորոշ է  միջինից բարձր քարքարոտվածությունը` մինչև 14-16%: Քարքարոտվածության հետ մեկտեղ առկա են փշաբարձային կիսաթփուտների մեծ տարածվածություն: Միջին և բարձր թեքությամբ նոսրացած բուսածածկով լանջերին  հատվածներով առկա է քարային ցրոների տարածվածություն և մակերևույթային էրոզիայի հստակ նշաններ, պայմանավորված մասնակի և ընդարձակվող բուսազրկվածությամբ: Միջին բուսապատվածության աստիճանը արոտում կազմում է մինչև 74%: Միջին ռիսկային արոտավայր է համաձայն արոտի իրավիճակի ցուցանիշի </w:t>
      </w:r>
      <w:r w:rsidRPr="006D0586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 Բուսածածկում առավելապես գերակշռում են մերձալպյան բարձրախոտային համակեցությունները: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լեռնամարգագետնային գոտում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առանձնացվել են   Սալեցու սար-1, 2, 3, 4, 5 և 6 արոտավայրերը: Գոտու արոտների մակերևույթը բնութագրվում է հիմնականում միջին և բարձր ռելիֆայնությամբ, տեղ-տեղ գերբարձր թեքության լանջերով և զառիթափեր ունեցող լեռնազանգվածներով (որոշ հատվածներում լանջերի թեքությունը կազմում է 40-55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C), խորը ընկած ձորերով և միջլեռնային հարթություններով: Գոտու տեղամասերի բնորոշ առանձնահատկություններից մեկը  քարացրոնների և 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9-19% սահմաններում: Բարձր է քարքարոտվածությունն հատկապես Սալեցու սար-3, 5 և 6 արոտատեղամասում, կազմելով 17-19%: Այս գոտու հիմնական արոտատեղամասերում  համեմատաբար բարձր է բուսապատվածությունը, ինչով պայմանավորված էկոլոգիական վիճակը համեմատաբար կայուն է: Ընդհանուր բուսապատվածությունը կազմում է 76-82%: Արոտներում առկա է համեմատաբար կայուն վիճակ, էռոզիայի հակվածությոնն (ԷՀՑ)  և արոտի դեգրադացվածությունն (ԱԴՑ) միջին և ցածր ռիսկային տիրույթում է: </w:t>
      </w:r>
    </w:p>
    <w:p w:rsidR="004B21B9" w:rsidRPr="006D0586" w:rsidRDefault="004B21B9" w:rsidP="004B21B9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Ընդհանուր առմամբ բնակավայրի արոտներից առավել դեգրադացված են լեռնատափաստանային գոտու բնակավայրամերձ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4B21B9" w:rsidRPr="006D0586" w:rsidRDefault="004B21B9" w:rsidP="004B21B9">
      <w:pPr>
        <w:pStyle w:val="1"/>
        <w:spacing w:before="0" w:after="0" w:line="360" w:lineRule="auto"/>
        <w:rPr>
          <w:rFonts w:ascii="Sylfaen" w:eastAsia="Calibri" w:hAnsi="Sylfaen"/>
          <w:b w:val="0"/>
          <w:bCs w:val="0"/>
          <w:color w:val="FF0000"/>
          <w:kern w:val="0"/>
          <w:sz w:val="16"/>
          <w:szCs w:val="16"/>
        </w:rPr>
      </w:pPr>
      <w:bookmarkStart w:id="19" w:name="_Toc402354611"/>
      <w:bookmarkStart w:id="20" w:name="_Toc524700602"/>
      <w:r w:rsidRPr="006D0586">
        <w:rPr>
          <w:rFonts w:ascii="Sylfaen" w:eastAsia="Calibri" w:hAnsi="Sylfaen"/>
          <w:b w:val="0"/>
          <w:bCs w:val="0"/>
          <w:color w:val="FF0000"/>
          <w:kern w:val="0"/>
          <w:sz w:val="16"/>
          <w:szCs w:val="16"/>
        </w:rPr>
        <w:lastRenderedPageBreak/>
        <w:t xml:space="preserve">          </w:t>
      </w: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21" w:name="_Toc17972298"/>
      <w:r w:rsidRPr="006D0586">
        <w:rPr>
          <w:rFonts w:ascii="Sylfaen" w:hAnsi="Sylfaen"/>
          <w:sz w:val="16"/>
          <w:szCs w:val="16"/>
        </w:rPr>
        <w:t xml:space="preserve">5. </w:t>
      </w:r>
      <w:r w:rsidRPr="006D0586">
        <w:rPr>
          <w:rFonts w:ascii="Sylfaen" w:hAnsi="Sylfaen" w:cs="Sylfaen"/>
          <w:sz w:val="16"/>
          <w:szCs w:val="16"/>
        </w:rPr>
        <w:t>Ընթացիկ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կառավարում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ըստ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գոտ</w:t>
      </w:r>
      <w:bookmarkEnd w:id="19"/>
      <w:r w:rsidRPr="006D0586">
        <w:rPr>
          <w:rFonts w:ascii="Sylfaen" w:hAnsi="Sylfaen" w:cs="Sylfaen"/>
          <w:sz w:val="16"/>
          <w:szCs w:val="16"/>
        </w:rPr>
        <w:t>ու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արոտատեղամասերի</w:t>
      </w:r>
      <w:bookmarkEnd w:id="20"/>
      <w:bookmarkEnd w:id="21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Քարագլուխ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վերջից մինչև նոյեմբերի առաջին տասնօրյակը), իսկ մանր եղջերավորի (ոչխարի) արոտային շրջանը կազմում է 250 օր (ապրիլի առաջին տասնօրյակից մինչև դեկտեմբերի առաջին տասնօրյակը,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proofErr w:type="gramStart"/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Լեռնատափաստանային </w:t>
      </w:r>
      <w:r w:rsidRPr="006D0586">
        <w:rPr>
          <w:rFonts w:ascii="Sylfaen" w:hAnsi="Sylfaen"/>
          <w:b/>
          <w:bCs w:val="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երրորդ տասնօրյակից: Այս գոտում տարարածված է համայնքային արոտավայրերի 42.85%-ը (315.72 հա): Սովորաբար  այս արոտատեղամասերում կազմակերպվում է հիմնական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proofErr w:type="gramStart"/>
      <w:r w:rsidRPr="006D0586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</w:t>
      </w:r>
      <w:r w:rsidRPr="006D0586">
        <w:rPr>
          <w:rFonts w:ascii="Sylfaen" w:hAnsi="Sylfaen"/>
          <w:bCs w:val="0"/>
          <w:spacing w:val="0"/>
          <w:sz w:val="16"/>
          <w:szCs w:val="16"/>
        </w:rPr>
        <w:t xml:space="preserve"> արոտներից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(2.77%) 20.41 հա-ը: Այս գոտու առավել ցածրադիր հատվածները օգտագործվում են տափաստանային գոտու արոտների օգտագործման հետ ստացիոնար եղանակով: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բարձր լեռնային գոտում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ընդարձակ տարածքներ, որոնք կազմում են բնակավայրի արոտային ֆոնդի 54.38 %-ը (400.68 հա): Այս գոտու արոտների որոշ հատվածները` հատկապես ցածրադիր մասերը օգտագործվում են հեռագնա ճամբարային պահվածքով (Հունիսի երկրորդ տասնօրյակից մինչև սեպտեմբերի երկրորդ տասնօրյակը), մասնավորապես բտման կենդանիների և մանր եղջերավորի համար: Պայմանավորված հեռագնա պահվածք կազմակերպելուն անհրաժեշտ ենթակառուցվածքների բացակայությամբ,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արոտավայրերը: Արոտատեղամասերում կայուն հեռագնա արոտօգտագործում իրականացնելու համար, անհրաժեշտ է նոր ենթակառուցվածքների ստեղծումը, քանի, որ նախկինում կառուցված ենթակառուցվածքներն հիմնականում քայքայվել և օգտագործման պիտանելիություն չունեն: Գտնում ենք, որ արոտավայրերում հեռագնա կայուն արոտօգտագործում իրականացնելու համար անհրաժեշտ է կենդանիների գիշերակացի համար նոր մակատեղի կառուցումը, ինչով և ապահովվելու է այս գոտու արոտավայրերի կայուն  օգտագործումն:    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4B21B9" w:rsidRPr="006D0586" w:rsidRDefault="004B21B9" w:rsidP="004B21B9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Որպես արոտակերի ապահովման այլընտրանքային միջոց, արոտի նպատակով օգտագործվում են նաև 1501.64 հա այլ հողատեսքերի որոշ հատվածների բուսածածկը:</w:t>
      </w:r>
    </w:p>
    <w:p w:rsidR="004B21B9" w:rsidRPr="006D0586" w:rsidRDefault="004B21B9" w:rsidP="004B21B9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22" w:name="_Toc17972299"/>
      <w:bookmarkStart w:id="23" w:name="_Toc524700603"/>
      <w:bookmarkStart w:id="24" w:name="_Toc402354612"/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6D0586">
        <w:rPr>
          <w:rFonts w:ascii="Sylfaen" w:hAnsi="Sylfaen" w:cs="Sylfaen"/>
          <w:i w:val="0"/>
          <w:color w:val="auto"/>
          <w:sz w:val="16"/>
          <w:szCs w:val="16"/>
          <w:lang w:val="en-US"/>
        </w:rPr>
        <w:t>Բնակավայրի</w:t>
      </w:r>
      <w:r w:rsidRPr="006D0586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6D0586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6D0586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6D0586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2"/>
      <w:bookmarkEnd w:id="23"/>
      <w:bookmarkEnd w:id="24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կառավարում, Հարավային Կովկաս»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   </w:t>
      </w:r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4B21B9" w:rsidRPr="006D0586" w:rsidTr="004B21B9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4B21B9" w:rsidRPr="006D0586" w:rsidTr="004B21B9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Լեռնատափաստանային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1440</w:t>
            </w:r>
          </w:p>
        </w:tc>
      </w:tr>
      <w:tr w:rsidR="004B21B9" w:rsidRPr="006D0586" w:rsidTr="004B21B9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410</w:t>
            </w:r>
          </w:p>
        </w:tc>
      </w:tr>
      <w:tr w:rsidR="004B21B9" w:rsidRPr="006D0586" w:rsidTr="004B21B9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1680</w:t>
            </w:r>
          </w:p>
        </w:tc>
      </w:tr>
      <w:tr w:rsidR="004B21B9" w:rsidRPr="006D0586" w:rsidTr="004B21B9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4B21B9" w:rsidRPr="006D0586" w:rsidTr="004B21B9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1640</w:t>
            </w:r>
          </w:p>
        </w:tc>
      </w:tr>
      <w:tr w:rsidR="004B21B9" w:rsidRPr="006D0586" w:rsidTr="004B21B9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580</w:t>
            </w:r>
          </w:p>
        </w:tc>
      </w:tr>
    </w:tbl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 հա) հնարավոր բերքատվության ցուցանիշները յուրաքանչյուր բնական գոտու պայմաններում:         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Լեռնատափաստանային գոտու արոտավայրերի բուսածածկում` 53.8% կազմել են դաշտավլուկազգիները, 39.0% տարախոտեր, 7.2% բակլազգիներ,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գոտու արոտավայրերի բուսածածկում` 56.4% կազմել են դաշտավլուկազգիները, 31.2% տարախոտեր, 12.4% բակլազգիներ,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մերձալպյան բարձրախոտային բուսակացք: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 արոտավայրերի բուսածածկում` 63.8% կազմել են դաշտավլուկազգիները, 28.6% տարախոտեր, 7.6% բակլազգիներ, ձևավորված է դաշտավլուկազգի- տարախոտաբակլազգի լեռնամարգագետնային բուսակացք: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71-80%-ի սահմաններում, իսկ արածեցված տարածքներում 49-58%, ընդ որում ամենացածր ցուցանիշ գրանցվել է մասամբ դեգրադացված, բնակավայրամերձ հատվածի ցածրադիր արոտատեղամասերում: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Աղյուսակ 6</w:t>
      </w:r>
    </w:p>
    <w:p w:rsidR="004B21B9" w:rsidRPr="006D0586" w:rsidRDefault="004B21B9" w:rsidP="004B21B9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4B21B9" w:rsidRPr="006D0586" w:rsidTr="004B21B9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4B21B9" w:rsidRPr="006D0586" w:rsidTr="004B21B9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4B21B9" w:rsidRPr="006D0586" w:rsidTr="004B21B9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4B21B9" w:rsidRPr="006D0586" w:rsidTr="004B21B9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55.38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64.3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127374</w:t>
            </w:r>
          </w:p>
        </w:tc>
      </w:tr>
    </w:tbl>
    <w:p w:rsidR="004B21B9" w:rsidRPr="006D0586" w:rsidRDefault="004B21B9" w:rsidP="004B21B9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(23.9%), որոնց մեջ զգալի է կոպիտ և վատորակ տեսակների քանակությունը, ինչով պայմանավորված խոտի որակը բարձր չէ: Բուսազանգվածում համեմատաբար ցածր է բակլազգիների միջին պարունակությունը (11.8 %):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Festuca ovina, Festuca pratense,   Dactylis glomerata, Phleum pratense, Poa pratense, Lotus corniculatus, Lotus pratense, Thimus, Achillea millefolium </w:t>
      </w:r>
      <w:hyperlink r:id="rId26" w:history="1">
        <w:r w:rsidRPr="006D0586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Taraxacum officinale, Astragalus galegiformis, Trifolium medium, Tr. pratense, Tr. repens, O. transcaucasica,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Vicia angustifolia, Pyrethhrum myriophyllum, Carduus acanthoides և այլն: Բարձրարժեք բակլազգի տեսակները համեմատաբար սակավ են, 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 գոտու առավել ցածրադիր արոտներում: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4B21B9" w:rsidRPr="006D0586" w:rsidRDefault="004B21B9" w:rsidP="004B21B9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</w:rPr>
      </w:pPr>
      <w:bookmarkStart w:id="25" w:name="_Toc17972300"/>
      <w:bookmarkStart w:id="26" w:name="_Toc524700604"/>
      <w:bookmarkStart w:id="27" w:name="_Toc402354613"/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5"/>
      <w:bookmarkEnd w:id="26"/>
      <w:bookmarkEnd w:id="27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8" w:name="_Toc275304875"/>
      <w:bookmarkStart w:id="29" w:name="_Toc275297860"/>
      <w:bookmarkStart w:id="30" w:name="_Toc275295647"/>
      <w:bookmarkStart w:id="31" w:name="_Toc275133835"/>
      <w:bookmarkStart w:id="32" w:name="_Toc275133472"/>
      <w:bookmarkStart w:id="33" w:name="_Toc275133426"/>
      <w:bookmarkStart w:id="34" w:name="_Toc275133066"/>
      <w:bookmarkStart w:id="35" w:name="_Toc275132918"/>
      <w:bookmarkStart w:id="36" w:name="_Toc275132640"/>
      <w:bookmarkStart w:id="37" w:name="_Toc275132410"/>
      <w:bookmarkStart w:id="38" w:name="_Toc275132145"/>
      <w:bookmarkStart w:id="39" w:name="_Toc275131586"/>
      <w:bookmarkStart w:id="40" w:name="_Toc76376824"/>
      <w:bookmarkStart w:id="41" w:name="_Toc76375841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4B21B9" w:rsidRPr="006D0586" w:rsidRDefault="004B21B9" w:rsidP="004B21B9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2" w:name="_Toc76376825"/>
      <w:bookmarkStart w:id="43" w:name="_Toc76375842"/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2"/>
      <w:bookmarkEnd w:id="43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4B21B9" w:rsidRPr="006D0586" w:rsidRDefault="004B21B9" w:rsidP="004B21B9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4" w:name="_Toc76376826"/>
      <w:bookmarkStart w:id="45" w:name="_Toc76375843"/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Վաղ գարուն: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4"/>
      <w:bookmarkEnd w:id="45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4B21B9" w:rsidRPr="006D0586" w:rsidRDefault="004B21B9" w:rsidP="004B21B9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Ուշ գարուն/ամառ: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4B21B9" w:rsidRPr="006D0586" w:rsidRDefault="004B21B9" w:rsidP="004B21B9">
      <w:pPr>
        <w:spacing w:line="360" w:lineRule="auto"/>
        <w:ind w:left="284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6" w:name="_Toc17972301"/>
      <w:bookmarkStart w:id="47" w:name="_Toc524700605"/>
      <w:bookmarkStart w:id="48" w:name="_Toc402354614"/>
      <w:r w:rsidRPr="006D0586">
        <w:rPr>
          <w:rFonts w:ascii="Sylfaen" w:hAnsi="Sylfaen"/>
          <w:sz w:val="16"/>
          <w:szCs w:val="16"/>
        </w:rPr>
        <w:t xml:space="preserve">6. </w:t>
      </w:r>
      <w:r w:rsidRPr="006D0586">
        <w:rPr>
          <w:rFonts w:ascii="Sylfaen" w:hAnsi="Sylfaen" w:cs="Sylfaen"/>
          <w:sz w:val="16"/>
          <w:szCs w:val="16"/>
        </w:rPr>
        <w:t>Չոր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կենսազանգվածի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կուտակման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հնարավորությունն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ըստ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բնակլիմայական</w:t>
      </w:r>
      <w:r w:rsidRPr="006D0586">
        <w:rPr>
          <w:rFonts w:ascii="Sylfaen" w:hAnsi="Sylfaen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գոտիների</w:t>
      </w:r>
      <w:bookmarkEnd w:id="46"/>
      <w:bookmarkEnd w:id="47"/>
      <w:bookmarkEnd w:id="48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  </w:t>
      </w:r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Աղյուսակ 7 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Քարագլուխ բնակավայրի արոտավայրերի խոզանի բարձրությունն ըստ գոտիների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4B21B9" w:rsidRPr="006D0586" w:rsidTr="004B21B9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 բարձրությունը,  սմ</w:t>
            </w:r>
          </w:p>
        </w:tc>
      </w:tr>
      <w:tr w:rsidR="004B21B9" w:rsidRPr="006D0586" w:rsidTr="004B21B9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4B21B9" w:rsidRPr="006D0586" w:rsidTr="004B21B9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4B21B9" w:rsidRPr="006D0586" w:rsidTr="004B21B9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8-10</w:t>
            </w:r>
          </w:p>
        </w:tc>
      </w:tr>
    </w:tbl>
    <w:p w:rsidR="004B21B9" w:rsidRPr="006D0586" w:rsidRDefault="004B21B9" w:rsidP="004B21B9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4B21B9" w:rsidRPr="006D0586" w:rsidRDefault="004B21B9" w:rsidP="004B21B9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Տափաստանային գոտում  10 -12սմ,</w:t>
      </w:r>
    </w:p>
    <w:p w:rsidR="004B21B9" w:rsidRPr="006D0586" w:rsidRDefault="004B21B9" w:rsidP="004B21B9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        10-12սմ,</w:t>
      </w:r>
    </w:p>
    <w:p w:rsidR="004B21B9" w:rsidRPr="006D0586" w:rsidRDefault="004B21B9" w:rsidP="004B21B9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Ալպյան  գոտում                 8-10սմ: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Քարագլուխ բնակավայրի վարչական տարածքի լանդշաֆտային գոտիականության առանձնահատկություններից, առաջարկվում է գարնանային արածեցումը սկսել տափաստանային  և մերձալպյան գոտիներում 10 սմ իսկ ալպյան  գոտում 8-10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49" w:name="_Toc402354615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0" w:name="_Toc17972302"/>
      <w:bookmarkStart w:id="51" w:name="_Toc524700606"/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6D0586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կերապահովմանտարածքներից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2" w:name="_Toc402354616"/>
      <w:bookmarkEnd w:id="49"/>
      <w:bookmarkEnd w:id="50"/>
    </w:p>
    <w:p w:rsidR="004B21B9" w:rsidRPr="006D0586" w:rsidRDefault="004B21B9" w:rsidP="004B21B9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53" w:name="_Toc17972303"/>
      <w:r w:rsidRPr="006D0586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6D0586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6D0586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1"/>
      <w:bookmarkEnd w:id="52"/>
      <w:bookmarkEnd w:id="53"/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4B21B9" w:rsidRPr="006D0586" w:rsidRDefault="004B21B9" w:rsidP="004B21B9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4" w:name="RANGE!A29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Արոտավայրերի արտադրողականությունը և առավելագույն արածեցման օրերը  </w:t>
      </w:r>
      <w:bookmarkEnd w:id="54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4B21B9" w:rsidRPr="006D0586" w:rsidTr="004B21B9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4B21B9" w:rsidRPr="006D0586" w:rsidTr="004B21B9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Զ=Ե/4152.3 կգ/օր</w:t>
            </w:r>
          </w:p>
        </w:tc>
      </w:tr>
      <w:tr w:rsidR="004B21B9" w:rsidRPr="006D0586" w:rsidTr="004B21B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315.72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454636.8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318245.7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</w:tr>
      <w:tr w:rsidR="004B21B9" w:rsidRPr="006D0586" w:rsidTr="004B21B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20.41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34288.8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24002.1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400.68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657115.2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459980.6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111</w:t>
            </w:r>
          </w:p>
        </w:tc>
      </w:tr>
      <w:tr w:rsidR="004B21B9" w:rsidRPr="006D0586" w:rsidTr="004B21B9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736.81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1146040.8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802228.4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194</w:t>
            </w:r>
          </w:p>
        </w:tc>
      </w:tr>
    </w:tbl>
    <w:p w:rsidR="004B21B9" w:rsidRPr="006D0586" w:rsidRDefault="004B21B9" w:rsidP="004B21B9">
      <w:pPr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 </w:t>
      </w:r>
    </w:p>
    <w:p w:rsidR="004B21B9" w:rsidRPr="006D0586" w:rsidRDefault="004B21B9" w:rsidP="004B21B9">
      <w:pPr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(4152.3):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70 %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(70%), ձևավորվող չոր զանգվածի քանակությունը առկա անասնագլխի համար կարող է ապահովել շուրջ 194 օրերի համար արոտային կեր, ինչը  բավարարում է բնակավայրի պայմաններում ՊԽՄ-ի արոտային շրջանի համար հաշվարկած արածեցման օրերի պահանջը: 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 ընտրանք հնարավոր է մինչև 366 օր կերակրել համայնքի ամբողջ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        </w:t>
      </w:r>
    </w:p>
    <w:p w:rsidR="004B21B9" w:rsidRPr="006D0586" w:rsidRDefault="004B21B9" w:rsidP="004B21B9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4B21B9" w:rsidRPr="006D0586" w:rsidRDefault="004B21B9" w:rsidP="004B21B9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5" w:name="RANGE!A36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5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4B21B9" w:rsidRPr="006D0586" w:rsidTr="004B21B9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4B21B9" w:rsidRPr="006D0586" w:rsidTr="004B21B9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4152.3 կգ/օր</w:t>
            </w:r>
          </w:p>
        </w:tc>
      </w:tr>
      <w:tr w:rsidR="004B21B9" w:rsidRPr="006D0586" w:rsidTr="004B21B9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   </w:t>
            </w:r>
          </w:p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 խոզան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360.78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137096.4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</w:t>
            </w:r>
          </w:p>
        </w:tc>
      </w:tr>
      <w:tr w:rsidR="004B21B9" w:rsidRPr="006D0586" w:rsidTr="004B21B9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1501.64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1381508.8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333</w:t>
            </w:r>
          </w:p>
        </w:tc>
      </w:tr>
      <w:tr w:rsidR="004B21B9" w:rsidRPr="006D0586" w:rsidTr="004B21B9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1862.4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1518605.2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366</w:t>
            </w:r>
          </w:p>
        </w:tc>
      </w:tr>
    </w:tbl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առկա արոտավայրերից և այլ ընտրանքային արոտատեղերից (աղյուսակներ- 8; 9) ձևավորվող արոտակերը կարող է բավարարել առկա անասնագլխի արոտակերի պահանջը 194+366=560 օր: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(70% թույլատրելի օգտագործումով) ընդհանուր չոր զանգվածի (802228.4կգ), ինչպես նաև արոտակերի ապահովման այլընտրանքային կերապահովման տարածքներից (1518605.2 կգ) ձևավորվող համախառն կերային պաշարների և առկա անասնագլխին  արոտային ժամանակահատվածում անհրաժեշտ  (809621.1 կգ) արոտակերի պահանջի համադրումից պարզ է դառնում, որ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ձևավորվող արոտակերը  կարող է բավարարել առկա անասնագլխի արոտային շրջանում անհրաժեշտ կերի պահանջը կրկնակի և ավել անգամ 286.6 %-ով: </w:t>
      </w:r>
      <w:bookmarkStart w:id="56" w:name="_Toc524700607"/>
      <w:bookmarkStart w:id="57" w:name="_Toc402354617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sz w:val="16"/>
          <w:szCs w:val="16"/>
        </w:rPr>
        <w:t xml:space="preserve"> </w:t>
      </w:r>
      <w:r w:rsidRPr="006D0586">
        <w:rPr>
          <w:rFonts w:ascii="Sylfaen" w:hAnsi="Sylfaen"/>
          <w:b/>
          <w:sz w:val="16"/>
          <w:szCs w:val="16"/>
        </w:rPr>
        <w:t xml:space="preserve">6.2. </w:t>
      </w:r>
      <w:r w:rsidRPr="006D0586">
        <w:rPr>
          <w:rFonts w:ascii="Sylfaen" w:hAnsi="Sylfaen" w:cs="Sylfaen"/>
          <w:b/>
          <w:sz w:val="16"/>
          <w:szCs w:val="16"/>
        </w:rPr>
        <w:t>Կենդանիների</w:t>
      </w:r>
      <w:r w:rsidRPr="006D0586">
        <w:rPr>
          <w:rFonts w:ascii="Sylfaen" w:hAnsi="Sylfaen"/>
          <w:b/>
          <w:sz w:val="16"/>
          <w:szCs w:val="16"/>
        </w:rPr>
        <w:t xml:space="preserve"> </w:t>
      </w:r>
      <w:r w:rsidRPr="006D0586">
        <w:rPr>
          <w:rFonts w:ascii="Sylfaen" w:hAnsi="Sylfaen" w:cs="Sylfaen"/>
          <w:b/>
          <w:sz w:val="16"/>
          <w:szCs w:val="16"/>
        </w:rPr>
        <w:t>կերակրման</w:t>
      </w:r>
      <w:r w:rsidRPr="006D0586">
        <w:rPr>
          <w:rFonts w:ascii="Sylfaen" w:hAnsi="Sylfaen"/>
          <w:b/>
          <w:sz w:val="16"/>
          <w:szCs w:val="16"/>
        </w:rPr>
        <w:t xml:space="preserve"> </w:t>
      </w:r>
      <w:r w:rsidRPr="006D0586">
        <w:rPr>
          <w:rFonts w:ascii="Sylfaen" w:hAnsi="Sylfaen" w:cs="Sylfaen"/>
          <w:b/>
          <w:sz w:val="16"/>
          <w:szCs w:val="16"/>
        </w:rPr>
        <w:t>և</w:t>
      </w:r>
      <w:r w:rsidRPr="006D0586">
        <w:rPr>
          <w:rFonts w:ascii="Sylfaen" w:hAnsi="Sylfaen"/>
          <w:b/>
          <w:sz w:val="16"/>
          <w:szCs w:val="16"/>
        </w:rPr>
        <w:t xml:space="preserve"> </w:t>
      </w:r>
      <w:r w:rsidRPr="006D0586">
        <w:rPr>
          <w:rFonts w:ascii="Sylfaen" w:hAnsi="Sylfaen" w:cs="Sylfaen"/>
          <w:b/>
          <w:sz w:val="16"/>
          <w:szCs w:val="16"/>
        </w:rPr>
        <w:t>կերերի</w:t>
      </w:r>
      <w:r w:rsidRPr="006D0586">
        <w:rPr>
          <w:rFonts w:ascii="Sylfaen" w:hAnsi="Sylfaen"/>
          <w:b/>
          <w:sz w:val="16"/>
          <w:szCs w:val="16"/>
        </w:rPr>
        <w:t xml:space="preserve"> </w:t>
      </w:r>
      <w:r w:rsidRPr="006D0586">
        <w:rPr>
          <w:rFonts w:ascii="Sylfaen" w:hAnsi="Sylfaen" w:cs="Sylfaen"/>
          <w:b/>
          <w:sz w:val="16"/>
          <w:szCs w:val="16"/>
        </w:rPr>
        <w:t>հաշվեկշիռ</w:t>
      </w:r>
      <w:bookmarkEnd w:id="56"/>
      <w:bookmarkEnd w:id="57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Քարագլուխ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Աղյուսակ 10</w:t>
      </w:r>
    </w:p>
    <w:p w:rsidR="004B21B9" w:rsidRPr="006D0586" w:rsidRDefault="004B21B9" w:rsidP="004B21B9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6D0586">
        <w:rPr>
          <w:rFonts w:ascii="Sylfaen" w:hAnsi="Sylfaen"/>
          <w:bCs w:val="0"/>
          <w:color w:val="auto"/>
          <w:sz w:val="16"/>
          <w:szCs w:val="16"/>
        </w:rPr>
        <w:t>(</w:t>
      </w:r>
      <w:r w:rsidRPr="006D0586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6D0586">
        <w:rPr>
          <w:rFonts w:ascii="Sylfaen" w:hAnsi="Sylfaen"/>
          <w:bCs w:val="0"/>
          <w:color w:val="auto"/>
          <w:sz w:val="16"/>
          <w:szCs w:val="16"/>
        </w:rPr>
        <w:t>)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4B21B9" w:rsidRPr="006D0586" w:rsidTr="004B21B9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ԽԵԿ-190 օր, ՄԵԿ-250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ԽԵԿ-175 օր, ՄԵԿ-115 օր</w:t>
            </w:r>
          </w:p>
        </w:tc>
      </w:tr>
      <w:tr w:rsidR="004B21B9" w:rsidRPr="006D0586" w:rsidTr="004B21B9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4B21B9" w:rsidRPr="006D0586" w:rsidTr="004B21B9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4B21B9" w:rsidRPr="006D0586" w:rsidTr="004B21B9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2320.8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286.6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717.8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100.1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21B9" w:rsidRPr="006D0586" w:rsidRDefault="004B21B9">
            <w:pPr>
              <w:spacing w:line="276" w:lineRule="auto"/>
              <w:rPr>
                <w:rFonts w:ascii="Sylfaen" w:hAnsi="Sylfaen"/>
                <w:color w:val="FF0000"/>
                <w:sz w:val="16"/>
                <w:szCs w:val="16"/>
                <w:highlight w:val="yellow"/>
              </w:rPr>
            </w:pPr>
          </w:p>
        </w:tc>
      </w:tr>
    </w:tbl>
    <w:p w:rsidR="004B21B9" w:rsidRPr="006D0586" w:rsidRDefault="004B21B9" w:rsidP="004B21B9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Ծանոթություն – ԽԵԿ- խոշոր եղջերավոր կենդանի, ՄԵԿ- մանր եղջերավոր կենդանի: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 (աղ. 10), որ լանդշաֆտային գոտիների արոտներում (70% թույլատրելի օգտագործմամբ), և այլընտրանքային արոտակերի ապահովման տարածքներում միասին հաշվառված (աղ. 8+9) ձևավորվող արոտակերը բավարարում է առկա անասնագլխաքանակին անհրաժեշտ արոտակերի պահանջը կրկնակի և ավել անգամ` 286.6%-ով: Մսուրային շրջանի համար բնակավայրի պայմաններում կուտակվող խոտը բավարարում է ընդհանուր պահանջարկը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100.1 %-ով: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 և կուտակվող արոտակերի ու խոտի տվյալներին, ինչպես նաև կերարտադրության հնարավորություններին և առկա անասնագլխի կերի պահանջին, պարզվում է, որ բնակավայրի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58" w:name="_Toc17972304"/>
      <w:bookmarkStart w:id="59" w:name="_Toc524700608"/>
      <w:bookmarkStart w:id="60" w:name="_Toc402354618"/>
      <w:r w:rsidRPr="006D0586">
        <w:rPr>
          <w:rFonts w:ascii="Sylfaen" w:hAnsi="Sylfaen"/>
          <w:sz w:val="16"/>
          <w:szCs w:val="16"/>
        </w:rPr>
        <w:t xml:space="preserve">7. </w:t>
      </w:r>
      <w:r w:rsidRPr="006D0586">
        <w:rPr>
          <w:rFonts w:ascii="Sylfaen" w:hAnsi="Sylfaen" w:cs="Sylfaen"/>
          <w:sz w:val="16"/>
          <w:szCs w:val="16"/>
        </w:rPr>
        <w:t>Խոշոր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և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մանր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եղջերավոր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կենդանիների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արածեցման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համակարգ</w:t>
      </w:r>
      <w:bookmarkEnd w:id="58"/>
      <w:bookmarkEnd w:id="59"/>
      <w:bookmarkEnd w:id="60"/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Քարագլուխ բնակավայրի արոտների օգտագործման (արածեցման) համակարգը ներկայացված է աղյուսակ 14-ում (ա, բ):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ցածրարժեք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III տասնօրյակից (ԽԵԿ-ի համար), ապրիլի առաջին տասնօրյակում (ՄԵԿ-ի համար), ցածրադիր հատվածների արոտատեղամասերից: Ուշ գարնանը նախիրներն ու հոտերը տեղափոխվում են լեռնատափաստանային գոտու առավելապես բարձրադիր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բնակավայրամերձ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Քարագլուխ բնակավայրում խոշոր և մանր եղջերավոր անասունների պայմանական գլխաքանակը (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 կգ մարմնի քաշ ունեցող կովին անհրաժեշտ չոր կերի քանակով (10 կգ):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Արոտատեղամասերում արոտօգտագործման օրերի քանակը հաշվարկվում է հետևյալ բանաձևով` 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 տարածք x միջին բերքատվություն x 70% /ՊԳ-ի օրեկան կերի պահանջ (կգ)/ նախիրի գլխաքանակ (ՊԳ):</w:t>
      </w:r>
      <w:proofErr w:type="gramEnd"/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 11</w:t>
      </w:r>
    </w:p>
    <w:p w:rsidR="004B21B9" w:rsidRPr="006D0586" w:rsidRDefault="004B21B9" w:rsidP="004B21B9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173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42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71.2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27.6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19.7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7.4</w:t>
            </w:r>
          </w:p>
        </w:tc>
      </w:tr>
      <w:tr w:rsidR="004B21B9" w:rsidRPr="006D0586" w:rsidTr="004B21B9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5.1</w:t>
            </w:r>
          </w:p>
        </w:tc>
      </w:tr>
      <w:tr w:rsidR="004B21B9" w:rsidRPr="006D0586" w:rsidTr="004B21B9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1022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411</w:t>
            </w:r>
          </w:p>
        </w:tc>
      </w:tr>
    </w:tbl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Քարագլուխ բնակավայրում գործում են ՄԵԿ (ոչխարի) 2 հոտեր և ԽԵԿ-ի 6 նախիրներ, որից 4-ը կովերի, 2-ը տարբեր սեռահասակային խմբերի ԽԵԿ-ի (աղ. 12): Նախիրներում և հոտերում հաշվվում է շուրջ 411 ՊԳ խոշոր միավոր:</w:t>
      </w:r>
    </w:p>
    <w:p w:rsidR="004B21B9" w:rsidRPr="006D0586" w:rsidRDefault="004B21B9" w:rsidP="004B21B9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 12</w:t>
      </w:r>
    </w:p>
    <w:p w:rsidR="004B21B9" w:rsidRPr="006D0586" w:rsidRDefault="004B21B9" w:rsidP="004B21B9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551"/>
        <w:gridCol w:w="2127"/>
      </w:tblGrid>
      <w:tr w:rsidR="004B21B9" w:rsidRPr="006D0586" w:rsidTr="004B21B9">
        <w:trPr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նախիրում և հոտում ՊԳ 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ՊԳ</w:t>
            </w:r>
          </w:p>
        </w:tc>
      </w:tr>
      <w:tr w:rsidR="004B21B9" w:rsidRPr="006D0586" w:rsidTr="004B21B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proofErr w:type="gramStart"/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Նախիր(</w:t>
            </w:r>
            <w:proofErr w:type="gramEnd"/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կովի) 1, 2. 3.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43+43+43+44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173</w:t>
            </w:r>
          </w:p>
        </w:tc>
      </w:tr>
      <w:tr w:rsidR="004B21B9" w:rsidRPr="006D0586" w:rsidTr="004B21B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1;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178</w:t>
            </w:r>
          </w:p>
        </w:tc>
      </w:tr>
      <w:tr w:rsidR="004B21B9" w:rsidRPr="006D0586" w:rsidTr="004B21B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</w:t>
            </w:r>
          </w:p>
        </w:tc>
      </w:tr>
      <w:tr w:rsidR="004B21B9" w:rsidRPr="006D0586" w:rsidTr="004B21B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B9" w:rsidRPr="006D0586" w:rsidRDefault="004B21B9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411</w:t>
            </w:r>
          </w:p>
        </w:tc>
      </w:tr>
    </w:tbl>
    <w:p w:rsidR="004B21B9" w:rsidRPr="006D0586" w:rsidRDefault="004B21B9" w:rsidP="004B21B9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 – Ձիերի գլխաքանակը ներառնված է մանր եղջերավորի հոտերի մեջ:</w:t>
      </w: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բնակավայրամերձ առավել ցածրադիր արոտները, ուշ գարնանը և  ամռան սկզբին նախիրները և հոտը տեղափոխվում են առավել բարձրադիր արոտատեղամասեր, մինջև սեպտեմբերի առաջին տասնօրյակը,  որից հետո հակառակ ընթացքով շարժվում են դեպի առավել ցածրադիր և բնակավայրամերձ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առկա անասնագլխին արոտակերով ապահովման համար արոտային շրջանում օգտագործվում են արոտների, ինչպես նաև այլընտրանքային կերապահովման տարածքների բուսածածկերը: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 արժեքից, ձևավորվող արոտակերի ընդհանուր քանակի և արոտավայրերի թույլատրելի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բեռնավորման (ԱԹԲ) նորմի հաշվարկից, պարզվում է, որ համայնքի արոտավայրերում (70% թույլատրելի օգտագործումով) և արոտակերի ապահովման այլընտրանքային տարածքներում ձևավորվող համախառն արոտակերի պաշարները,  արոտային ժամանակահատվածում կարող են ապահովել շուրջ 1220 ՊԳ խոշոր միավորի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(411 ՊԽՄ), պարզ է դառնում, որ արոտային կերերով բնակավայրը լիովին ապահովված է: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Քարագլուխ բնակավայրի պայմաններում առկա արոտային կերերի ամբողջական օգտագործման համար, առաջնահերթ պայման պետք է համարել հեռագնա արոտների հասանելիության ապահովումը հեռագնա պահվածքի ճամբարային ենթակառուցվածքներ ձևավորելով: Ներկայում, բնակավայրում հաշվառված շուրջ 136 գլուխ ( ՊԽՄ) այլ սեռահասակային ԽԵԿ-երի (մինջև 1 տարեկան հորթերը` 42 ՊԽՄ հաշվառված չէ), ամառային արոտային շրջանը կազմակերպում է հեռագնա արոտներում: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պայմաններում ԽԵԿ-ի մինջև 12 ամսեկան հորթերի (42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(42 ՊԳ) չի ներառնվել արոտօգտագործման` արածեցման գրաֆիկում: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Քարագլուխ բնակավայրի արոտների օգտագործումը (արածեցումը) կազմակերպել կովերի 4 նախիրներով (173 ՊԽՄ), այլ սեռահասակային խմբերի ԽԵԿ-ի 2 նախիրներով (136 ՊԽՄ) և ՄԵԿ-ի 2 հոտերով (60 ՊԽՄ),: Արոտատեղամասերում արածեցումը 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6D0586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4B21B9" w:rsidRPr="006D0586" w:rsidRDefault="004B21B9" w:rsidP="004B21B9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ՏԻՄ-երին հնարավորություն է տալիս մշակել 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  <w:bookmarkStart w:id="61" w:name="_Toc524700609"/>
    </w:p>
    <w:bookmarkEnd w:id="61"/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62" w:name="_Toc17972305"/>
      <w:bookmarkStart w:id="63" w:name="_Toc17970473"/>
      <w:bookmarkStart w:id="64" w:name="_Toc17968521"/>
      <w:bookmarkStart w:id="65" w:name="_Toc17793988"/>
      <w:bookmarkStart w:id="66" w:name="_Toc17713981"/>
      <w:bookmarkStart w:id="67" w:name="_Toc17713660"/>
      <w:bookmarkStart w:id="68" w:name="_Toc17712214"/>
      <w:bookmarkStart w:id="69" w:name="_Toc17712174"/>
      <w:bookmarkStart w:id="70" w:name="_Toc17711609"/>
      <w:r w:rsidRPr="006D0586">
        <w:rPr>
          <w:rFonts w:ascii="Sylfaen" w:hAnsi="Sylfaen" w:cs="Sylfaen"/>
          <w:sz w:val="16"/>
          <w:szCs w:val="16"/>
        </w:rPr>
        <w:t>8. Մսուրային շրջանում կուտակվող կերեր (խոտի ապահովածությունը)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4B21B9" w:rsidRPr="006D0586" w:rsidRDefault="004B21B9" w:rsidP="004B21B9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4B21B9" w:rsidRPr="006D0586" w:rsidRDefault="004B21B9" w:rsidP="004B21B9">
      <w:pPr>
        <w:tabs>
          <w:tab w:val="left" w:pos="360"/>
        </w:tabs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4B21B9" w:rsidRPr="006D0586" w:rsidTr="004B21B9">
        <w:trPr>
          <w:cantSplit/>
          <w:trHeight w:val="2086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173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302.7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719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+1.2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100.1</w:t>
            </w: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205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84.5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49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38.5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36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47.2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28.0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95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133.0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221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31.7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158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34.5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118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11.33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6.0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4B21B9" w:rsidRPr="006D0586" w:rsidTr="004B21B9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6D0586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1022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21B9" w:rsidRPr="006D0586" w:rsidRDefault="004B21B9">
            <w:pPr>
              <w:spacing w:line="276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 w:cs="Calibri"/>
                <w:color w:val="auto"/>
                <w:sz w:val="16"/>
                <w:szCs w:val="16"/>
              </w:rPr>
              <w:t>717.8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71" w:name="_Toc402354620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Քարագլուխ բնակավայրում մսուրային շրջանի համար կուտակվող կերերի ձեռքբերման աղբյուրները և քանակությունը          </w:t>
      </w:r>
    </w:p>
    <w:p w:rsidR="004B21B9" w:rsidRPr="006D0586" w:rsidRDefault="004B21B9" w:rsidP="004B21B9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Չմշակվող վարելահողերից խոտ                     200 հա x 1.75տ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=  350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4B21B9" w:rsidRPr="006D0586" w:rsidRDefault="004B21B9" w:rsidP="004B21B9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 հողերից խոտ                                  80.57 հա x 3.0տ </w:t>
      </w:r>
      <w:proofErr w:type="gramStart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=  241.7</w:t>
      </w:r>
      <w:proofErr w:type="gramEnd"/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4B21B9" w:rsidRPr="006D0586" w:rsidRDefault="004B21B9" w:rsidP="004B21B9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 խոտ                     55.38 հա x 2.3 տ = 127.3 տ</w:t>
      </w:r>
    </w:p>
    <w:p w:rsidR="004B21B9" w:rsidRPr="006D0586" w:rsidRDefault="004B21B9" w:rsidP="004B21B9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                                             40տ</w:t>
      </w:r>
    </w:p>
    <w:p w:rsidR="004B21B9" w:rsidRPr="006D0586" w:rsidRDefault="004B21B9" w:rsidP="004B21B9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Ընդամենը</w:t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6D0586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                      759.0 տ     </w:t>
      </w:r>
    </w:p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մսուրային շրջանում օգտագործվող խոտի պահանջը բավարարվում է (100.1%) սեփական արտադրությամբ` խոտհարքի համար օգտագործվող չմշակվող վարելահողերից, տնամերձ տարածքներից, ինչպես նաև բնական խոտհարքներից: </w:t>
      </w:r>
    </w:p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4B21B9" w:rsidRPr="006D0586" w:rsidRDefault="004B21B9" w:rsidP="004B21B9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4B21B9" w:rsidRPr="006D0586" w:rsidRDefault="004B21B9" w:rsidP="004B21B9">
      <w:pPr>
        <w:spacing w:line="360" w:lineRule="auto"/>
        <w:rPr>
          <w:rFonts w:ascii="Sylfaen" w:eastAsia="Times New Roman" w:hAnsi="Sylfaen"/>
          <w:b/>
          <w:color w:val="FF0000"/>
          <w:spacing w:val="0"/>
          <w:kern w:val="32"/>
          <w:sz w:val="16"/>
          <w:szCs w:val="16"/>
        </w:rPr>
        <w:sectPr w:rsidR="004B21B9" w:rsidRPr="006D0586" w:rsidSect="006D0586">
          <w:pgSz w:w="11907" w:h="16840"/>
          <w:pgMar w:top="568" w:right="709" w:bottom="567" w:left="709" w:header="709" w:footer="843" w:gutter="0"/>
          <w:pgNumType w:chapStyle="1"/>
          <w:cols w:space="720"/>
        </w:sectPr>
      </w:pP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72" w:name="_Toc524700611"/>
      <w:bookmarkStart w:id="73" w:name="_Toc17972306"/>
      <w:r w:rsidRPr="006D0586">
        <w:rPr>
          <w:rFonts w:ascii="Sylfaen" w:hAnsi="Sylfaen"/>
          <w:sz w:val="16"/>
          <w:szCs w:val="16"/>
        </w:rPr>
        <w:lastRenderedPageBreak/>
        <w:t xml:space="preserve">9. </w:t>
      </w:r>
      <w:r w:rsidRPr="006D0586">
        <w:rPr>
          <w:rFonts w:ascii="Sylfaen" w:hAnsi="Sylfaen"/>
          <w:bCs w:val="0"/>
          <w:sz w:val="16"/>
          <w:szCs w:val="16"/>
        </w:rPr>
        <w:t>Քարագլուխ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բնակավայրում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արոտատեղամասերի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բաշխվածության</w:t>
      </w:r>
      <w:r w:rsidRPr="006D0586">
        <w:rPr>
          <w:rFonts w:ascii="Sylfaen" w:hAnsi="Sylfaen" w:cs="Cambria"/>
          <w:sz w:val="16"/>
          <w:szCs w:val="16"/>
        </w:rPr>
        <w:t xml:space="preserve"> </w:t>
      </w:r>
      <w:r w:rsidRPr="006D0586">
        <w:rPr>
          <w:rFonts w:ascii="Sylfaen" w:hAnsi="Sylfaen" w:cs="Sylfaen"/>
          <w:sz w:val="16"/>
          <w:szCs w:val="16"/>
        </w:rPr>
        <w:t>քարտեզ</w:t>
      </w:r>
      <w:bookmarkEnd w:id="72"/>
      <w:bookmarkEnd w:id="73"/>
    </w:p>
    <w:bookmarkEnd w:id="71"/>
    <w:p w:rsidR="004B21B9" w:rsidRPr="006D0586" w:rsidRDefault="004B21B9" w:rsidP="004B21B9">
      <w:pPr>
        <w:jc w:val="center"/>
        <w:rPr>
          <w:sz w:val="16"/>
          <w:szCs w:val="16"/>
        </w:rPr>
      </w:pPr>
      <w:r w:rsidRPr="006D0586">
        <w:rPr>
          <w:noProof/>
          <w:sz w:val="16"/>
          <w:szCs w:val="16"/>
          <w:lang w:val="ru-RU" w:eastAsia="ru-RU"/>
        </w:rPr>
        <w:drawing>
          <wp:inline distT="0" distB="0" distL="0" distR="0" wp14:anchorId="25FD6936" wp14:editId="05BA0E5E">
            <wp:extent cx="6175375" cy="8324850"/>
            <wp:effectExtent l="0" t="0" r="0" b="0"/>
            <wp:docPr id="2" name="Рисунок 2" descr="Qaraglu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aragluk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586">
        <w:rPr>
          <w:sz w:val="16"/>
          <w:szCs w:val="16"/>
        </w:rPr>
        <w:t xml:space="preserve"> </w:t>
      </w:r>
      <w:r w:rsidRPr="006D0586">
        <w:rPr>
          <w:sz w:val="16"/>
          <w:szCs w:val="16"/>
        </w:rPr>
        <w:br w:type="page"/>
      </w:r>
      <w:bookmarkStart w:id="74" w:name="_Toc17972307"/>
      <w:r w:rsidRPr="006D0586">
        <w:rPr>
          <w:rStyle w:val="10"/>
          <w:rFonts w:ascii="Sylfaen" w:eastAsia="Calibri" w:hAnsi="Sylfaen"/>
          <w:sz w:val="16"/>
          <w:szCs w:val="16"/>
        </w:rPr>
        <w:lastRenderedPageBreak/>
        <w:t xml:space="preserve">10. </w:t>
      </w:r>
      <w:proofErr w:type="gramStart"/>
      <w:r w:rsidRPr="006D0586">
        <w:rPr>
          <w:rStyle w:val="10"/>
          <w:rFonts w:ascii="Sylfaen" w:eastAsia="Calibri" w:hAnsi="Sylfaen" w:cs="Sylfaen"/>
          <w:sz w:val="16"/>
          <w:szCs w:val="16"/>
        </w:rPr>
        <w:t>Քարագլուխ</w:t>
      </w:r>
      <w:r w:rsidRPr="006D0586">
        <w:rPr>
          <w:rStyle w:val="10"/>
          <w:rFonts w:ascii="Sylfaen" w:eastAsia="Calibri" w:hAnsi="Sylfaen"/>
          <w:sz w:val="16"/>
          <w:szCs w:val="16"/>
        </w:rPr>
        <w:t xml:space="preserve">  </w:t>
      </w:r>
      <w:r w:rsidRPr="006D0586">
        <w:rPr>
          <w:rStyle w:val="10"/>
          <w:rFonts w:ascii="Sylfaen" w:eastAsia="Calibri" w:hAnsi="Sylfaen" w:cs="Sylfaen"/>
          <w:sz w:val="16"/>
          <w:szCs w:val="16"/>
        </w:rPr>
        <w:t>բնակավայրում</w:t>
      </w:r>
      <w:proofErr w:type="gramEnd"/>
      <w:r w:rsidRPr="006D0586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6D0586">
        <w:rPr>
          <w:rStyle w:val="10"/>
          <w:rFonts w:ascii="Sylfaen" w:eastAsia="Calibri" w:hAnsi="Sylfaen" w:cs="Sylfaen"/>
          <w:sz w:val="16"/>
          <w:szCs w:val="16"/>
        </w:rPr>
        <w:t>արոտատեղամասերի</w:t>
      </w:r>
      <w:r w:rsidRPr="006D0586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6D0586">
        <w:rPr>
          <w:rStyle w:val="10"/>
          <w:rFonts w:ascii="Sylfaen" w:eastAsia="Calibri" w:hAnsi="Sylfaen" w:cs="Sylfaen"/>
          <w:sz w:val="16"/>
          <w:szCs w:val="16"/>
        </w:rPr>
        <w:t>բաշխվածության</w:t>
      </w:r>
      <w:r w:rsidRPr="006D0586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6D0586">
        <w:rPr>
          <w:rStyle w:val="10"/>
          <w:rFonts w:ascii="Sylfaen" w:eastAsia="Calibri" w:hAnsi="Sylfaen" w:cs="Sylfaen"/>
          <w:sz w:val="16"/>
          <w:szCs w:val="16"/>
        </w:rPr>
        <w:t>գոտիականության</w:t>
      </w:r>
      <w:r w:rsidRPr="006D0586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6D0586">
        <w:rPr>
          <w:rStyle w:val="10"/>
          <w:rFonts w:ascii="Sylfaen" w:eastAsia="Calibri" w:hAnsi="Sylfaen" w:cs="Sylfaen"/>
          <w:sz w:val="16"/>
          <w:szCs w:val="16"/>
        </w:rPr>
        <w:t>քարտեզ</w:t>
      </w:r>
      <w:bookmarkEnd w:id="74"/>
    </w:p>
    <w:p w:rsidR="004B21B9" w:rsidRPr="006D0586" w:rsidRDefault="004B21B9" w:rsidP="004B21B9">
      <w:pPr>
        <w:spacing w:line="360" w:lineRule="auto"/>
        <w:ind w:left="-1134" w:firstLine="594"/>
        <w:rPr>
          <w:rFonts w:ascii="Sylfaen" w:hAnsi="Sylfaen"/>
          <w:sz w:val="16"/>
          <w:szCs w:val="16"/>
          <w:lang w:val="fr-FR"/>
        </w:rPr>
      </w:pPr>
      <w:bookmarkStart w:id="75" w:name="_Toc524700612"/>
      <w:r w:rsidRPr="006D0586">
        <w:rPr>
          <w:rFonts w:ascii="Sylfaen" w:hAnsi="Sylfaen"/>
          <w:noProof/>
          <w:sz w:val="16"/>
          <w:szCs w:val="16"/>
          <w:lang w:val="ru-RU" w:eastAsia="ru-RU"/>
        </w:rPr>
        <w:drawing>
          <wp:inline distT="0" distB="0" distL="0" distR="0" wp14:anchorId="4DC5E624" wp14:editId="3C1AE38C">
            <wp:extent cx="6863715" cy="6804660"/>
            <wp:effectExtent l="0" t="0" r="0" b="0"/>
            <wp:docPr id="1" name="Рисунок 1" descr="Qaraglukh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araglukh_Elev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B9" w:rsidRPr="006D0586" w:rsidRDefault="004B21B9" w:rsidP="004B21B9">
      <w:pPr>
        <w:spacing w:line="360" w:lineRule="auto"/>
        <w:rPr>
          <w:rFonts w:ascii="Sylfaen" w:hAnsi="Sylfaen"/>
          <w:sz w:val="16"/>
          <w:szCs w:val="16"/>
          <w:lang w:val="fr-FR"/>
        </w:rPr>
        <w:sectPr w:rsidR="004B21B9" w:rsidRPr="006D0586">
          <w:pgSz w:w="11907" w:h="16840"/>
          <w:pgMar w:top="1170" w:right="1440" w:bottom="1170" w:left="1440" w:header="709" w:footer="1077" w:gutter="0"/>
          <w:pgNumType w:chapStyle="1"/>
          <w:cols w:space="720"/>
        </w:sectPr>
      </w:pPr>
    </w:p>
    <w:p w:rsidR="004B21B9" w:rsidRPr="006D0586" w:rsidRDefault="004B21B9" w:rsidP="004B21B9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  <w:lang w:val="fr-FR"/>
        </w:rPr>
      </w:pPr>
      <w:bookmarkStart w:id="76" w:name="_Toc17972308"/>
      <w:r w:rsidRPr="006D0586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6D0586">
        <w:rPr>
          <w:rFonts w:ascii="Sylfaen" w:hAnsi="Sylfaen"/>
          <w:bCs w:val="0"/>
          <w:sz w:val="16"/>
          <w:szCs w:val="16"/>
        </w:rPr>
        <w:t>Քարագլուխ</w:t>
      </w:r>
      <w:r w:rsidRPr="006D0586">
        <w:rPr>
          <w:rFonts w:ascii="Sylfaen" w:hAnsi="Sylfaen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6D0586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6D0586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sz w:val="16"/>
          <w:szCs w:val="16"/>
          <w:lang w:val="fr-FR"/>
        </w:rPr>
        <w:t>արածեցման</w:t>
      </w:r>
      <w:r w:rsidRPr="006D0586">
        <w:rPr>
          <w:rFonts w:ascii="Sylfaen" w:hAnsi="Sylfaen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sz w:val="16"/>
          <w:szCs w:val="16"/>
          <w:lang w:val="fr-FR"/>
        </w:rPr>
        <w:t>գրաֆիկ</w:t>
      </w:r>
      <w:bookmarkEnd w:id="75"/>
      <w:bookmarkEnd w:id="76"/>
    </w:p>
    <w:p w:rsidR="004B21B9" w:rsidRPr="006D0586" w:rsidRDefault="004B21B9" w:rsidP="004B21B9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6D0586">
        <w:rPr>
          <w:rFonts w:ascii="Sylfaen" w:hAnsi="Sylfaen" w:cs="Sylfaen"/>
          <w:color w:val="auto"/>
          <w:sz w:val="16"/>
          <w:szCs w:val="16"/>
        </w:rPr>
        <w:t>Աղյուսակ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6D0586">
        <w:rPr>
          <w:rFonts w:ascii="Sylfaen" w:hAnsi="Sylfaen" w:cs="Sylfaen"/>
          <w:color w:val="auto"/>
          <w:sz w:val="16"/>
          <w:szCs w:val="16"/>
        </w:rPr>
        <w:t>ա</w:t>
      </w:r>
    </w:p>
    <w:p w:rsidR="004B21B9" w:rsidRPr="006D0586" w:rsidRDefault="004B21B9" w:rsidP="004B21B9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Քարագլուխ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ԽԵԿ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6D0586">
        <w:rPr>
          <w:rFonts w:ascii="Sylfaen" w:hAnsi="Sylfaen" w:cs="Sylfaen"/>
          <w:color w:val="auto"/>
          <w:sz w:val="16"/>
          <w:szCs w:val="16"/>
        </w:rPr>
        <w:t>ի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և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ՄԵԿ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6D0586">
        <w:rPr>
          <w:rFonts w:ascii="Sylfaen" w:hAnsi="Sylfaen" w:cs="Sylfaen"/>
          <w:color w:val="auto"/>
          <w:sz w:val="16"/>
          <w:szCs w:val="16"/>
        </w:rPr>
        <w:t>ի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արածեցման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գրաֆիկ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4B21B9" w:rsidRPr="006D0586" w:rsidRDefault="004B21B9" w:rsidP="004B21B9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6D0586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6D0586">
        <w:rPr>
          <w:rFonts w:ascii="Sylfaen" w:hAnsi="Sylfaen"/>
          <w:color w:val="auto"/>
          <w:sz w:val="16"/>
          <w:szCs w:val="16"/>
        </w:rPr>
        <w:t>տարի</w:t>
      </w:r>
      <w:r w:rsidRPr="006D0586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2252"/>
        <w:gridCol w:w="901"/>
        <w:gridCol w:w="1261"/>
        <w:gridCol w:w="1441"/>
        <w:gridCol w:w="1441"/>
        <w:gridCol w:w="901"/>
        <w:gridCol w:w="540"/>
        <w:gridCol w:w="486"/>
      </w:tblGrid>
      <w:tr w:rsidR="004B21B9" w:rsidRPr="006D0586" w:rsidTr="004B21B9">
        <w:trPr>
          <w:trHeight w:val="1173"/>
        </w:trPr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ռո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6D0586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6D0586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4B21B9" w:rsidRPr="006D0586" w:rsidTr="004B21B9">
        <w:trPr>
          <w:trHeight w:val="5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Սալի հետև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46.05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01/05-01/06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10/08-16/09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Սալի այգիներ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24.38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02/06-07/07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Թախչիկ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07/07-09/08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17/09-15/10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rPr>
          <w:trHeight w:val="23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16/10-10/11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Խաչքարի վերև-1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49.33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01/05-10/06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08/10-10/11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Խաչքարի վերև-2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15.37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11/06-03/07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Կշի բուն-1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04/07-23/07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Կշի բուն-2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12.27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24/07-12/08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Ածուխի ձոր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47.79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18/09-07/10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Վարելահողերի և խոտհարքների խոզան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80.0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13/08-18/09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4B21B9" w:rsidRPr="006D0586" w:rsidTr="004B21B9">
        <w:tc>
          <w:tcPr>
            <w:tcW w:w="67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Թախչիկ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50.99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01/05-20/05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Քարատեղ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76.72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21/05-10/06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01/10-10/11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92.46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11/06-10/08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61.48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11/08-30/09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7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200.0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01/04-01/05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07/10-10/12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93</w:t>
            </w:r>
          </w:p>
        </w:tc>
        <w:tc>
          <w:tcPr>
            <w:tcW w:w="5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Ածուխի ձոր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47.79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02/05-24/05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Քարատեղ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76.72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25/05-10/06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24/09-06/10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92.46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11/06-22/07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57.03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23/07-30/08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61.48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31/08-23/09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</w:tbl>
    <w:p w:rsidR="004B21B9" w:rsidRPr="006D0586" w:rsidRDefault="004B21B9" w:rsidP="004B21B9">
      <w:pPr>
        <w:rPr>
          <w:rFonts w:ascii="Sylfaen" w:hAnsi="Sylfaen"/>
          <w:sz w:val="16"/>
          <w:szCs w:val="16"/>
        </w:rPr>
      </w:pPr>
      <w:r w:rsidRPr="006D0586">
        <w:rPr>
          <w:rFonts w:ascii="Sylfaen" w:hAnsi="Sylfaen"/>
          <w:b/>
          <w:sz w:val="16"/>
          <w:szCs w:val="16"/>
        </w:rPr>
        <w:t>Ծանոթություն</w:t>
      </w:r>
      <w:r w:rsidRPr="006D0586">
        <w:rPr>
          <w:rFonts w:ascii="Sylfaen" w:hAnsi="Sylfaen"/>
          <w:sz w:val="16"/>
          <w:szCs w:val="16"/>
        </w:rPr>
        <w:t>, ՈՒ- ուշ ժամկետում արածեցում:</w:t>
      </w:r>
    </w:p>
    <w:p w:rsidR="004B21B9" w:rsidRPr="006D0586" w:rsidRDefault="004B21B9" w:rsidP="004B21B9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6D0586">
        <w:rPr>
          <w:rFonts w:ascii="Sylfaen" w:hAnsi="Sylfaen"/>
          <w:color w:val="FF0000"/>
          <w:sz w:val="16"/>
          <w:szCs w:val="16"/>
          <w:lang w:val="fr-FR"/>
        </w:rPr>
        <w:br w:type="page"/>
      </w:r>
      <w:r w:rsidRPr="006D0586">
        <w:rPr>
          <w:rFonts w:ascii="Sylfaen" w:hAnsi="Sylfaen"/>
          <w:color w:val="FF0000"/>
          <w:sz w:val="16"/>
          <w:szCs w:val="16"/>
          <w:lang w:val="fr-FR"/>
        </w:rPr>
        <w:lastRenderedPageBreak/>
        <w:t xml:space="preserve">           </w:t>
      </w:r>
      <w:r w:rsidRPr="006D0586">
        <w:rPr>
          <w:rFonts w:ascii="Sylfaen" w:hAnsi="Sylfaen" w:cs="Sylfaen"/>
          <w:color w:val="auto"/>
          <w:sz w:val="16"/>
          <w:szCs w:val="16"/>
        </w:rPr>
        <w:t>Աղյուսակ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6D0586">
        <w:rPr>
          <w:rFonts w:ascii="Sylfaen" w:hAnsi="Sylfaen" w:cs="Sylfaen"/>
          <w:color w:val="auto"/>
          <w:sz w:val="16"/>
          <w:szCs w:val="16"/>
        </w:rPr>
        <w:t>բ</w:t>
      </w:r>
    </w:p>
    <w:p w:rsidR="004B21B9" w:rsidRPr="006D0586" w:rsidRDefault="004B21B9" w:rsidP="004B21B9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6D0586">
        <w:rPr>
          <w:rFonts w:ascii="Sylfaen" w:hAnsi="Sylfaen"/>
          <w:bCs w:val="0"/>
          <w:color w:val="auto"/>
          <w:spacing w:val="0"/>
          <w:sz w:val="16"/>
          <w:szCs w:val="16"/>
        </w:rPr>
        <w:t>Քարագլուխ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ԽԵԿ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6D0586">
        <w:rPr>
          <w:rFonts w:ascii="Sylfaen" w:hAnsi="Sylfaen" w:cs="Sylfaen"/>
          <w:color w:val="auto"/>
          <w:sz w:val="16"/>
          <w:szCs w:val="16"/>
        </w:rPr>
        <w:t>ի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և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ՄԵԿ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6D0586">
        <w:rPr>
          <w:rFonts w:ascii="Sylfaen" w:hAnsi="Sylfaen" w:cs="Sylfaen"/>
          <w:color w:val="auto"/>
          <w:sz w:val="16"/>
          <w:szCs w:val="16"/>
        </w:rPr>
        <w:t>ի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արածեցման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6D0586">
        <w:rPr>
          <w:rFonts w:ascii="Sylfaen" w:hAnsi="Sylfaen" w:cs="Sylfaen"/>
          <w:color w:val="auto"/>
          <w:sz w:val="16"/>
          <w:szCs w:val="16"/>
        </w:rPr>
        <w:t>գրաֆիկ</w:t>
      </w:r>
      <w:r w:rsidRPr="006D0586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4B21B9" w:rsidRPr="006D0586" w:rsidRDefault="004B21B9" w:rsidP="004B21B9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6D0586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6D0586">
        <w:rPr>
          <w:rFonts w:ascii="Sylfaen" w:hAnsi="Sylfaen"/>
          <w:color w:val="auto"/>
          <w:sz w:val="16"/>
          <w:szCs w:val="16"/>
        </w:rPr>
        <w:t>տարի</w:t>
      </w:r>
      <w:r w:rsidRPr="006D0586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251"/>
        <w:gridCol w:w="900"/>
        <w:gridCol w:w="1171"/>
        <w:gridCol w:w="1441"/>
        <w:gridCol w:w="1441"/>
        <w:gridCol w:w="900"/>
        <w:gridCol w:w="540"/>
        <w:gridCol w:w="490"/>
      </w:tblGrid>
      <w:tr w:rsidR="004B21B9" w:rsidRPr="006D0586" w:rsidTr="004B21B9">
        <w:trPr>
          <w:trHeight w:val="1173"/>
        </w:trPr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639" w:hanging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ռո</w:t>
            </w:r>
            <w:r w:rsidRPr="006D0586">
              <w:rPr>
                <w:rFonts w:ascii="Sylfaen" w:hAnsi="Sylfaen"/>
                <w:sz w:val="16"/>
                <w:szCs w:val="16"/>
              </w:rPr>
              <w:softHyphen/>
            </w:r>
            <w:r w:rsidRPr="006D0586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6D0586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6D0586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4B21B9" w:rsidRPr="006D0586" w:rsidTr="004B21B9">
        <w:trPr>
          <w:trHeight w:val="59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6D0586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6D0586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Սալի այգիներ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24.38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01/05-06/06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Սալի հետև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46.05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07/06-06/07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10/08-16/09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Թախչիկ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50.99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07/07-09/08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17/09-15/10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rPr>
          <w:trHeight w:val="23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16/10-10/11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Խաչքարի վերև-2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15.37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01/05-23/05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Խաչքարի վերև-1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49.33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24/05-03/7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08/10-10/11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Կշի բուն-1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13.22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04/07-23/07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Կշի բուն-2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12.27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24/07-12/08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Ածուխի ձոր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47.79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18/09-07/10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Վարելահողերի և խոտհարքների խոզան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80.0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13/08-18/09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4B21B9" w:rsidRPr="006D0586" w:rsidTr="004B21B9"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Թախչիկ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50.99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01/05-20/05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4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Քարատեղ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76.72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21/05-10/06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01/10-10/11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92.46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11/06-10/08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61.48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ԽԵԿ-5-6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11/08-30/09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4B21B9" w:rsidRPr="006D0586" w:rsidTr="004B21B9"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200.0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01/04-01/05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07/10-10/12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93</w:t>
            </w:r>
          </w:p>
        </w:tc>
        <w:tc>
          <w:tcPr>
            <w:tcW w:w="5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Ածուխի ձոր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47.79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02/05-24/05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Քարատեղ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76.72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25/05-10/06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24/09-06/10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92.46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11/06-22/07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57.03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23/07-30/08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4B21B9" w:rsidRPr="006D0586" w:rsidTr="004B21B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Սալեցու սար-2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61.48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ՄԵԿ-1-2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31/08-23/09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6D0586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4B21B9" w:rsidRPr="006D0586" w:rsidRDefault="004B21B9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6D0586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</w:tbl>
    <w:p w:rsidR="004B21B9" w:rsidRPr="006D0586" w:rsidRDefault="004B21B9" w:rsidP="004B21B9">
      <w:pPr>
        <w:rPr>
          <w:rFonts w:ascii="Sylfaen" w:hAnsi="Sylfaen"/>
          <w:sz w:val="16"/>
          <w:szCs w:val="16"/>
        </w:rPr>
      </w:pPr>
      <w:r w:rsidRPr="006D0586">
        <w:rPr>
          <w:rFonts w:ascii="Sylfaen" w:hAnsi="Sylfaen"/>
          <w:b/>
          <w:sz w:val="16"/>
          <w:szCs w:val="16"/>
        </w:rPr>
        <w:t>Ծանոթություն</w:t>
      </w:r>
      <w:r w:rsidRPr="006D0586">
        <w:rPr>
          <w:rFonts w:ascii="Sylfaen" w:hAnsi="Sylfaen"/>
          <w:sz w:val="16"/>
          <w:szCs w:val="16"/>
        </w:rPr>
        <w:t>, ՈՒ- ուշ ժամկետում արածեցում:</w:t>
      </w:r>
    </w:p>
    <w:p w:rsidR="00826DE4" w:rsidRPr="006D0586" w:rsidRDefault="00826DE4">
      <w:pPr>
        <w:rPr>
          <w:sz w:val="16"/>
          <w:szCs w:val="16"/>
        </w:rPr>
      </w:pPr>
    </w:p>
    <w:sectPr w:rsidR="00826DE4" w:rsidRPr="006D0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65"/>
    <w:rsid w:val="004B21B9"/>
    <w:rsid w:val="006D0586"/>
    <w:rsid w:val="00826DE4"/>
    <w:rsid w:val="00C1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B9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B21B9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1B9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1B9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B21B9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4B21B9"/>
    <w:rPr>
      <w:color w:val="0000FF"/>
      <w:u w:val="single"/>
    </w:rPr>
  </w:style>
  <w:style w:type="character" w:styleId="a4">
    <w:name w:val="FollowedHyperlink"/>
    <w:semiHidden/>
    <w:unhideWhenUsed/>
    <w:rsid w:val="004B21B9"/>
    <w:rPr>
      <w:color w:val="800080"/>
      <w:u w:val="single"/>
    </w:rPr>
  </w:style>
  <w:style w:type="paragraph" w:styleId="a5">
    <w:name w:val="Normal (Web)"/>
    <w:basedOn w:val="a"/>
    <w:semiHidden/>
    <w:unhideWhenUsed/>
    <w:rsid w:val="004B21B9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B21B9"/>
    <w:pPr>
      <w:tabs>
        <w:tab w:val="right" w:leader="dot" w:pos="882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4B21B9"/>
    <w:pPr>
      <w:tabs>
        <w:tab w:val="right" w:leader="dot" w:pos="8820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B21B9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4B21B9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4B21B9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4B21B9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4B21B9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4B21B9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4B21B9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4B21B9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B21B9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4B21B9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4B21B9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4B21B9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4B21B9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4B21B9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4B21B9"/>
    <w:rPr>
      <w:b/>
    </w:rPr>
  </w:style>
  <w:style w:type="character" w:customStyle="1" w:styleId="af4">
    <w:name w:val="Тема примечания Знак"/>
    <w:basedOn w:val="a9"/>
    <w:link w:val="af3"/>
    <w:semiHidden/>
    <w:rsid w:val="004B21B9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4B21B9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4B21B9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4B21B9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4B21B9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4B21B9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4B21B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4B21B9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4B21B9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4B21B9"/>
    <w:rPr>
      <w:vertAlign w:val="superscript"/>
    </w:rPr>
  </w:style>
  <w:style w:type="character" w:styleId="afc">
    <w:name w:val="annotation reference"/>
    <w:semiHidden/>
    <w:unhideWhenUsed/>
    <w:rsid w:val="004B21B9"/>
    <w:rPr>
      <w:sz w:val="16"/>
      <w:szCs w:val="16"/>
    </w:rPr>
  </w:style>
  <w:style w:type="character" w:customStyle="1" w:styleId="apple-converted-space">
    <w:name w:val="apple-converted-space"/>
    <w:basedOn w:val="a0"/>
    <w:rsid w:val="004B21B9"/>
  </w:style>
  <w:style w:type="character" w:customStyle="1" w:styleId="apple-style-span">
    <w:name w:val="apple-style-span"/>
    <w:basedOn w:val="a0"/>
    <w:rsid w:val="004B21B9"/>
  </w:style>
  <w:style w:type="character" w:customStyle="1" w:styleId="12">
    <w:name w:val="Тема примечания Знак1"/>
    <w:basedOn w:val="a9"/>
    <w:semiHidden/>
    <w:rsid w:val="004B21B9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4B21B9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4B21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B9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B21B9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1B9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1B9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B21B9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4B21B9"/>
    <w:rPr>
      <w:color w:val="0000FF"/>
      <w:u w:val="single"/>
    </w:rPr>
  </w:style>
  <w:style w:type="character" w:styleId="a4">
    <w:name w:val="FollowedHyperlink"/>
    <w:semiHidden/>
    <w:unhideWhenUsed/>
    <w:rsid w:val="004B21B9"/>
    <w:rPr>
      <w:color w:val="800080"/>
      <w:u w:val="single"/>
    </w:rPr>
  </w:style>
  <w:style w:type="paragraph" w:styleId="a5">
    <w:name w:val="Normal (Web)"/>
    <w:basedOn w:val="a"/>
    <w:semiHidden/>
    <w:unhideWhenUsed/>
    <w:rsid w:val="004B21B9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B21B9"/>
    <w:pPr>
      <w:tabs>
        <w:tab w:val="right" w:leader="dot" w:pos="882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4B21B9"/>
    <w:pPr>
      <w:tabs>
        <w:tab w:val="right" w:leader="dot" w:pos="8820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B21B9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4B21B9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4B21B9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4B21B9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4B21B9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4B21B9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4B21B9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4B21B9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B21B9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4B21B9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4B21B9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4B21B9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4B21B9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4B21B9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4B21B9"/>
    <w:rPr>
      <w:b/>
    </w:rPr>
  </w:style>
  <w:style w:type="character" w:customStyle="1" w:styleId="af4">
    <w:name w:val="Тема примечания Знак"/>
    <w:basedOn w:val="a9"/>
    <w:link w:val="af3"/>
    <w:semiHidden/>
    <w:rsid w:val="004B21B9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4B21B9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4B21B9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4B21B9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4B21B9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4B21B9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4B21B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4B21B9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4B21B9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4B21B9"/>
    <w:rPr>
      <w:vertAlign w:val="superscript"/>
    </w:rPr>
  </w:style>
  <w:style w:type="character" w:styleId="afc">
    <w:name w:val="annotation reference"/>
    <w:semiHidden/>
    <w:unhideWhenUsed/>
    <w:rsid w:val="004B21B9"/>
    <w:rPr>
      <w:sz w:val="16"/>
      <w:szCs w:val="16"/>
    </w:rPr>
  </w:style>
  <w:style w:type="character" w:customStyle="1" w:styleId="apple-converted-space">
    <w:name w:val="apple-converted-space"/>
    <w:basedOn w:val="a0"/>
    <w:rsid w:val="004B21B9"/>
  </w:style>
  <w:style w:type="character" w:customStyle="1" w:styleId="apple-style-span">
    <w:name w:val="apple-style-span"/>
    <w:basedOn w:val="a0"/>
    <w:rsid w:val="004B21B9"/>
  </w:style>
  <w:style w:type="character" w:customStyle="1" w:styleId="12">
    <w:name w:val="Тема примечания Знак1"/>
    <w:basedOn w:val="a9"/>
    <w:semiHidden/>
    <w:rsid w:val="004B21B9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4B21B9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4B21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18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6" Type="http://schemas.openxmlformats.org/officeDocument/2006/relationships/hyperlink" Target="https://ru.wikipedia.org/wiki/L.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17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5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0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4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3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8" Type="http://schemas.openxmlformats.org/officeDocument/2006/relationships/image" Target="media/image5.jpeg"/><Relationship Id="rId10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19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14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2" Type="http://schemas.openxmlformats.org/officeDocument/2006/relationships/hyperlink" Target="file:///C:\Users\888\Downloads\8.%20Karaglukh%20-%20&#1364;&#1377;&#1408;&#1377;&#1379;&#1388;&#1400;&#1410;&#1389;%202019%20&#1343;&#1354;%20-.doc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8453</Words>
  <Characters>48184</Characters>
  <Application>Microsoft Office Word</Application>
  <DocSecurity>0</DocSecurity>
  <Lines>401</Lines>
  <Paragraphs>113</Paragraphs>
  <ScaleCrop>false</ScaleCrop>
  <Company>Home</Company>
  <LinksUpToDate>false</LinksUpToDate>
  <CharactersWithSpaces>56524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cp:lastPrinted>2020-02-17T14:51:00Z</cp:lastPrinted>
  <dcterms:created xsi:type="dcterms:W3CDTF">2020-02-14T14:27:00Z</dcterms:created>
  <dcterms:modified xsi:type="dcterms:W3CDTF">2020-02-17T14:51:00Z</dcterms:modified>
</cp:coreProperties>
</file>