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0B" w:rsidRPr="00AF4210" w:rsidRDefault="00BE670B" w:rsidP="00BE670B">
      <w:pPr>
        <w:pBdr>
          <w:bottom w:val="single" w:sz="4" w:space="1" w:color="auto"/>
        </w:pBdr>
        <w:spacing w:line="360" w:lineRule="auto"/>
        <w:rPr>
          <w:rFonts w:ascii="Sylfaen" w:hAnsi="Sylfaen"/>
          <w:b/>
          <w:caps/>
          <w:color w:val="auto"/>
          <w:sz w:val="16"/>
          <w:szCs w:val="16"/>
        </w:rPr>
      </w:pPr>
      <w:r w:rsidRPr="00AF4210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0EFDCFFD" wp14:editId="3A20DE06">
            <wp:extent cx="1924685" cy="871855"/>
            <wp:effectExtent l="0" t="0" r="0" b="4445"/>
            <wp:docPr id="5" name="Рисунок 5" descr="SDC_RGB_hoch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_RGB_hoch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10">
        <w:rPr>
          <w:rFonts w:ascii="Sylfaen" w:hAnsi="Sylfaen"/>
          <w:b/>
          <w:caps/>
          <w:color w:val="auto"/>
          <w:sz w:val="16"/>
          <w:szCs w:val="16"/>
        </w:rPr>
        <w:t xml:space="preserve">                                </w:t>
      </w:r>
      <w:r w:rsidRPr="00AF4210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19F2601A" wp14:editId="025D89B6">
            <wp:extent cx="2105025" cy="871855"/>
            <wp:effectExtent l="0" t="0" r="9525" b="4445"/>
            <wp:docPr id="4" name="Рисунок 4" descr="SDA_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_N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AF4210">
        <w:rPr>
          <w:rFonts w:ascii="Sylfaen" w:hAnsi="Sylfaen" w:cs="Sylfaen"/>
          <w:b/>
          <w:color w:val="auto"/>
          <w:sz w:val="16"/>
          <w:szCs w:val="16"/>
        </w:rPr>
        <w:t xml:space="preserve">ԱՆԱՍՆԱՊԱՀՈՒԹՅԱՆ ԶԱՐԳԱՑՈՒՄ ՀԱՅԱՍՏԱՆԻ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AF4210">
        <w:rPr>
          <w:rFonts w:ascii="Sylfaen" w:hAnsi="Sylfaen" w:cs="Sylfaen"/>
          <w:b/>
          <w:color w:val="auto"/>
          <w:sz w:val="16"/>
          <w:szCs w:val="16"/>
        </w:rPr>
        <w:t xml:space="preserve">ՀԱՐԱՎՈՒՄ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AF4210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5978AA70" wp14:editId="052F61AF">
            <wp:extent cx="5656580" cy="3519170"/>
            <wp:effectExtent l="0" t="0" r="1270" b="5080"/>
            <wp:docPr id="3" name="Рисунок 3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AF4210">
        <w:rPr>
          <w:rFonts w:ascii="Sylfaen" w:hAnsi="Sylfaen"/>
          <w:b/>
          <w:caps/>
          <w:color w:val="auto"/>
          <w:sz w:val="16"/>
          <w:szCs w:val="16"/>
        </w:rPr>
        <w:t xml:space="preserve">ԵՂԵԳԻՍ ՀԱՄԱՅՆՔԻ հորբատեղ ԲՆԱԿԱՎԱՅՐԻ ԱՐՈՏԱՎԱՅՐԵՐԻ ԿԱՌԱՎԱՐՄԱՆ ԵՎ ԱՆԱՍՆԱՊԱՀՈՒԹՅԱՆ ԶԱՐԳԱՑՄԱՆ ՊԼԱՆ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  <w:r w:rsidRPr="00AF4210">
        <w:rPr>
          <w:rFonts w:ascii="Sylfaen" w:hAnsi="Sylfaen"/>
          <w:b/>
          <w:color w:val="auto"/>
          <w:sz w:val="16"/>
          <w:szCs w:val="16"/>
        </w:rPr>
        <w:t>2019թ.</w:t>
      </w:r>
    </w:p>
    <w:p w:rsidR="00BE670B" w:rsidRPr="00AF4210" w:rsidRDefault="00BE670B" w:rsidP="00BE670B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BE670B" w:rsidRPr="00AF4210">
          <w:pgSz w:w="11907" w:h="16840"/>
          <w:pgMar w:top="1440" w:right="1440" w:bottom="1260" w:left="1440" w:header="709" w:footer="720" w:gutter="0"/>
          <w:pgNumType w:start="0" w:chapStyle="1"/>
          <w:cols w:space="720"/>
        </w:sectPr>
      </w:pPr>
    </w:p>
    <w:p w:rsidR="00BE670B" w:rsidRPr="00AF4210" w:rsidRDefault="00BE670B" w:rsidP="00BE670B">
      <w:pPr>
        <w:spacing w:line="360" w:lineRule="auto"/>
        <w:jc w:val="center"/>
        <w:rPr>
          <w:rFonts w:ascii="Sylfaen" w:hAnsi="Sylfaen" w:cs="Sylfaen"/>
          <w:b/>
          <w:sz w:val="16"/>
          <w:szCs w:val="16"/>
        </w:rPr>
      </w:pPr>
      <w:r w:rsidRPr="00AF4210">
        <w:rPr>
          <w:rFonts w:ascii="Sylfaen" w:hAnsi="Sylfaen"/>
          <w:b/>
          <w:color w:val="auto"/>
          <w:sz w:val="16"/>
          <w:szCs w:val="16"/>
        </w:rPr>
        <w:lastRenderedPageBreak/>
        <w:t>Բ</w:t>
      </w:r>
      <w:r w:rsidRPr="00AF4210">
        <w:rPr>
          <w:rFonts w:ascii="Sylfaen" w:hAnsi="Sylfaen" w:cs="Sylfaen"/>
          <w:b/>
          <w:sz w:val="16"/>
          <w:szCs w:val="16"/>
        </w:rPr>
        <w:t>ովանդակություն</w:t>
      </w:r>
    </w:p>
    <w:p w:rsidR="00BE670B" w:rsidRPr="00AF4210" w:rsidRDefault="00BE670B" w:rsidP="00BE670B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BE670B" w:rsidRPr="00AF4210" w:rsidRDefault="00BE670B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r w:rsidRPr="00AF4210">
        <w:rPr>
          <w:sz w:val="16"/>
          <w:szCs w:val="16"/>
        </w:rPr>
        <w:fldChar w:fldCharType="begin"/>
      </w:r>
      <w:r w:rsidRPr="00AF4210">
        <w:rPr>
          <w:sz w:val="16"/>
          <w:szCs w:val="16"/>
        </w:rPr>
        <w:instrText xml:space="preserve"> TOC \o "1-3" \h \z \u </w:instrText>
      </w:r>
      <w:r w:rsidRPr="00AF4210">
        <w:rPr>
          <w:sz w:val="16"/>
          <w:szCs w:val="16"/>
        </w:rPr>
        <w:fldChar w:fldCharType="separate"/>
      </w:r>
      <w:hyperlink r:id="rId9" w:anchor="_Toc17732890" w:history="1">
        <w:r w:rsidRPr="00AF4210">
          <w:rPr>
            <w:rStyle w:val="a3"/>
            <w:sz w:val="16"/>
            <w:szCs w:val="16"/>
          </w:rPr>
          <w:t>1. Ներածություն</w:t>
        </w:r>
        <w:r w:rsidRPr="00AF4210">
          <w:rPr>
            <w:rStyle w:val="a3"/>
            <w:webHidden/>
            <w:sz w:val="16"/>
            <w:szCs w:val="16"/>
          </w:rPr>
          <w:tab/>
        </w:r>
        <w:r w:rsidRPr="00AF4210">
          <w:rPr>
            <w:rStyle w:val="a3"/>
            <w:webHidden/>
            <w:sz w:val="16"/>
            <w:szCs w:val="16"/>
          </w:rPr>
          <w:fldChar w:fldCharType="begin"/>
        </w:r>
        <w:r w:rsidRPr="00AF4210">
          <w:rPr>
            <w:rStyle w:val="a3"/>
            <w:webHidden/>
            <w:sz w:val="16"/>
            <w:szCs w:val="16"/>
          </w:rPr>
          <w:instrText xml:space="preserve"> PAGEREF _Toc17732890 \h </w:instrText>
        </w:r>
        <w:r w:rsidRPr="00AF4210">
          <w:rPr>
            <w:rStyle w:val="a3"/>
            <w:webHidden/>
            <w:sz w:val="16"/>
            <w:szCs w:val="16"/>
          </w:rPr>
        </w:r>
        <w:r w:rsidRPr="00AF4210">
          <w:rPr>
            <w:rStyle w:val="a3"/>
            <w:webHidden/>
            <w:sz w:val="16"/>
            <w:szCs w:val="16"/>
          </w:rPr>
          <w:fldChar w:fldCharType="separate"/>
        </w:r>
        <w:r w:rsidR="00AF4210">
          <w:rPr>
            <w:rStyle w:val="a3"/>
            <w:webHidden/>
            <w:sz w:val="16"/>
            <w:szCs w:val="16"/>
          </w:rPr>
          <w:t>2</w:t>
        </w:r>
        <w:r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0" w:anchor="_Toc17732891" w:history="1">
        <w:r w:rsidR="00BE670B" w:rsidRPr="00AF4210">
          <w:rPr>
            <w:rStyle w:val="a3"/>
            <w:sz w:val="16"/>
            <w:szCs w:val="16"/>
          </w:rPr>
          <w:t>2. Հորբատեղ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բնակավայրի գյուղատնտեսական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նշանակության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հողերի կառուցվածքը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և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սեփականության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ձևերը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_Toc17732891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1" w:anchor="_Toc17732892" w:history="1">
        <w:r w:rsidR="00BE670B" w:rsidRPr="00AF4210">
          <w:rPr>
            <w:rStyle w:val="a3"/>
            <w:sz w:val="16"/>
            <w:szCs w:val="16"/>
          </w:rPr>
          <w:t>3. Բնակավայրի անասնագլխաքանակն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ըստ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տնտեսությունների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և անասնակերի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պահանջը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_Toc17732892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2" w:anchor="_Toc17732893" w:history="1">
        <w:r w:rsidR="00BE670B" w:rsidRPr="00AF4210">
          <w:rPr>
            <w:rStyle w:val="a3"/>
            <w:sz w:val="16"/>
            <w:szCs w:val="16"/>
          </w:rPr>
          <w:t>3.1 Անասնակերի պահանջի հաշվարկ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_Toc17732893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3" w:anchor="_Toc17732894" w:history="1">
        <w:r w:rsidR="00BE670B" w:rsidRPr="00AF4210">
          <w:rPr>
            <w:rStyle w:val="a3"/>
            <w:sz w:val="16"/>
            <w:szCs w:val="16"/>
          </w:rPr>
          <w:t>4. Բնակավայրի ֆիզիկաաշխարհագրական առանձնահատկությունները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_Toc17732894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4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21"/>
        <w:rPr>
          <w:rFonts w:ascii="Sylfaen" w:hAnsi="Sylfaen"/>
          <w:noProof/>
          <w:sz w:val="16"/>
          <w:szCs w:val="16"/>
        </w:rPr>
      </w:pPr>
      <w:hyperlink r:id="rId14" w:anchor="_Toc17732895" w:history="1"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4.1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Արոտատեղամասերի էկոլոգիական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գնահատում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_Toc17732895 \h </w:instrTex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5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5" w:anchor="_Toc17732896" w:history="1">
        <w:r w:rsidR="00BE670B" w:rsidRPr="00AF4210">
          <w:rPr>
            <w:rStyle w:val="a3"/>
            <w:sz w:val="16"/>
            <w:szCs w:val="16"/>
          </w:rPr>
          <w:t>5. Ընթացիկ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կառավարում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ըստ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գոտու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արոտատեղամասերի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_Toc17732896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7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21"/>
        <w:rPr>
          <w:rFonts w:ascii="Sylfaen" w:hAnsi="Sylfaen"/>
          <w:noProof/>
          <w:sz w:val="16"/>
          <w:szCs w:val="16"/>
        </w:rPr>
      </w:pPr>
      <w:hyperlink r:id="rId16" w:anchor="_Toc17732897" w:history="1"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5.1.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արոտների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խոտհարքների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բուսածածկն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ու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բերքատվության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ցուցանիշները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_Toc17732897 \h </w:instrTex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7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21"/>
        <w:rPr>
          <w:rFonts w:ascii="Sylfaen" w:hAnsi="Sylfaen"/>
          <w:noProof/>
          <w:sz w:val="16"/>
          <w:szCs w:val="16"/>
        </w:rPr>
      </w:pPr>
      <w:hyperlink r:id="rId17" w:anchor="_Toc17732898" w:history="1"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5.2.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Արոտավայրերի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կառավարման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անասնապահության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զարգացման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նախադրյալները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_Toc17732898 \h </w:instrTex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9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8" w:anchor="_Toc17732899" w:history="1">
        <w:r w:rsidR="00BE670B" w:rsidRPr="00AF4210">
          <w:rPr>
            <w:rStyle w:val="a3"/>
            <w:sz w:val="16"/>
            <w:szCs w:val="16"/>
          </w:rPr>
          <w:t>6. Չոր կենսազանգվածի կուտակման հնարավորությունն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ըստ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բնակլիմայական գոտիների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_Toc17732899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9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21"/>
        <w:rPr>
          <w:rFonts w:ascii="Sylfaen" w:hAnsi="Sylfaen"/>
          <w:noProof/>
          <w:sz w:val="16"/>
          <w:szCs w:val="16"/>
        </w:rPr>
      </w:pPr>
      <w:hyperlink r:id="rId19" w:anchor="_Toc17732900" w:history="1"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6.1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կերահանդակներից</w:t>
        </w:r>
        <w:r w:rsidR="00BE670B" w:rsidRPr="00AF4210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այլընտրանքային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կերապահովմանտարածքներից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ստացվող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չոր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զանգվածի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_Toc17732900 \h </w:instrTex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10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21"/>
        <w:rPr>
          <w:rFonts w:ascii="Sylfaen" w:hAnsi="Sylfaen"/>
          <w:noProof/>
          <w:sz w:val="16"/>
          <w:szCs w:val="16"/>
        </w:rPr>
      </w:pPr>
      <w:hyperlink r:id="rId20" w:anchor="_Toc17732901" w:history="1"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արածեցման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օրերի</w:t>
        </w:r>
        <w:r w:rsidR="00BE670B" w:rsidRPr="00AF4210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BE670B" w:rsidRPr="00AF4210">
          <w:rPr>
            <w:rStyle w:val="a3"/>
            <w:rFonts w:ascii="Sylfaen" w:hAnsi="Sylfaen" w:cs="Sylfaen"/>
            <w:noProof/>
            <w:sz w:val="16"/>
            <w:szCs w:val="16"/>
          </w:rPr>
          <w:t>քանակը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_Toc17732901 \h </w:instrTex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10</w:t>
        </w:r>
        <w:r w:rsidR="00BE670B" w:rsidRPr="00AF4210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1" w:anchor="_Toc17732902" w:history="1">
        <w:r w:rsidR="00BE670B" w:rsidRPr="00AF4210">
          <w:rPr>
            <w:rStyle w:val="a3"/>
            <w:sz w:val="16"/>
            <w:szCs w:val="16"/>
          </w:rPr>
          <w:t>7. Խոշոր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և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մանր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եղջերավոր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կենդանիների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արածեցման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համակարգ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_Toc17732902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11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2" w:anchor="_Toc17732903" w:history="1">
        <w:r w:rsidR="00BE670B" w:rsidRPr="00AF4210">
          <w:rPr>
            <w:rStyle w:val="a3"/>
            <w:sz w:val="16"/>
            <w:szCs w:val="16"/>
          </w:rPr>
          <w:t>8. Մսուրային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շրջանում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կուտակվող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կերեր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(</w:t>
        </w:r>
        <w:r w:rsidR="00BE670B" w:rsidRPr="00AF4210">
          <w:rPr>
            <w:rStyle w:val="a3"/>
            <w:sz w:val="16"/>
            <w:szCs w:val="16"/>
          </w:rPr>
          <w:t>խոտի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ապահովածությունը</w:t>
        </w:r>
        <w:r w:rsidR="00BE670B" w:rsidRPr="00AF4210">
          <w:rPr>
            <w:rStyle w:val="a3"/>
            <w:rFonts w:cs="Cambria"/>
            <w:sz w:val="16"/>
            <w:szCs w:val="16"/>
          </w:rPr>
          <w:t>)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_Toc17732903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13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3" w:anchor="_Toc17732904" w:history="1">
        <w:r w:rsidR="00BE670B" w:rsidRPr="00AF4210">
          <w:rPr>
            <w:rStyle w:val="a3"/>
            <w:sz w:val="16"/>
            <w:szCs w:val="16"/>
          </w:rPr>
          <w:t>9. Հորբատեղ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բնակավայրում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արոտատեղամասերի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բաշխվածության</w:t>
        </w:r>
        <w:r w:rsidR="00BE670B" w:rsidRPr="00AF4210">
          <w:rPr>
            <w:rStyle w:val="a3"/>
            <w:rFonts w:cs="Cambria"/>
            <w:sz w:val="16"/>
            <w:szCs w:val="16"/>
          </w:rPr>
          <w:t xml:space="preserve"> </w:t>
        </w:r>
        <w:r w:rsidR="00BE670B" w:rsidRPr="00AF4210">
          <w:rPr>
            <w:rStyle w:val="a3"/>
            <w:sz w:val="16"/>
            <w:szCs w:val="16"/>
          </w:rPr>
          <w:t>քարտեզ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_Toc17732904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15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4" w:anchor="_Toc17732905" w:history="1">
        <w:r w:rsidR="00BE670B" w:rsidRPr="00AF4210">
          <w:rPr>
            <w:rStyle w:val="a3"/>
            <w:sz w:val="16"/>
            <w:szCs w:val="16"/>
          </w:rPr>
          <w:t>10. Հորբատեղ բնակավայրում արոտատեղամասերի բաշխվածության գոտիականության քարտեզ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_Toc17732905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15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AF4210" w:rsidP="00BE670B">
      <w:pPr>
        <w:pStyle w:val="11"/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5" w:anchor="_Toc17732906" w:history="1">
        <w:r w:rsidR="00BE670B" w:rsidRPr="00AF4210">
          <w:rPr>
            <w:rStyle w:val="a3"/>
            <w:sz w:val="16"/>
            <w:szCs w:val="16"/>
            <w:lang w:val="fr-FR"/>
          </w:rPr>
          <w:t xml:space="preserve">11. </w:t>
        </w:r>
        <w:r w:rsidR="00BE670B" w:rsidRPr="00AF4210">
          <w:rPr>
            <w:rStyle w:val="a3"/>
            <w:sz w:val="16"/>
            <w:szCs w:val="16"/>
          </w:rPr>
          <w:t>Հորբատեղ</w:t>
        </w:r>
        <w:r w:rsidR="00BE670B" w:rsidRPr="00AF4210">
          <w:rPr>
            <w:rStyle w:val="a3"/>
            <w:sz w:val="16"/>
            <w:szCs w:val="16"/>
            <w:lang w:val="fr-FR"/>
          </w:rPr>
          <w:t xml:space="preserve"> բնակավայրում</w:t>
        </w:r>
        <w:r w:rsidR="00BE670B" w:rsidRPr="00AF4210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BE670B" w:rsidRPr="00AF4210">
          <w:rPr>
            <w:rStyle w:val="a3"/>
            <w:sz w:val="16"/>
            <w:szCs w:val="16"/>
            <w:lang w:val="fr-FR"/>
          </w:rPr>
          <w:t>արոտատեղամասերի</w:t>
        </w:r>
        <w:r w:rsidR="00BE670B" w:rsidRPr="00AF4210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BE670B" w:rsidRPr="00AF4210">
          <w:rPr>
            <w:rStyle w:val="a3"/>
            <w:sz w:val="16"/>
            <w:szCs w:val="16"/>
            <w:lang w:val="fr-FR"/>
          </w:rPr>
          <w:t>արածեցման գրաֆիկ</w:t>
        </w:r>
        <w:r w:rsidR="00BE670B" w:rsidRPr="00AF4210">
          <w:rPr>
            <w:rStyle w:val="a3"/>
            <w:webHidden/>
            <w:sz w:val="16"/>
            <w:szCs w:val="16"/>
          </w:rPr>
          <w:tab/>
        </w:r>
        <w:r w:rsidR="00BE670B" w:rsidRPr="00AF4210">
          <w:rPr>
            <w:rStyle w:val="a3"/>
            <w:webHidden/>
            <w:sz w:val="16"/>
            <w:szCs w:val="16"/>
          </w:rPr>
          <w:fldChar w:fldCharType="begin"/>
        </w:r>
        <w:r w:rsidR="00BE670B" w:rsidRPr="00AF4210">
          <w:rPr>
            <w:rStyle w:val="a3"/>
            <w:webHidden/>
            <w:sz w:val="16"/>
            <w:szCs w:val="16"/>
          </w:rPr>
          <w:instrText xml:space="preserve"> PAGEREF _Toc17732906 \h </w:instrText>
        </w:r>
        <w:r w:rsidR="00BE670B" w:rsidRPr="00AF4210">
          <w:rPr>
            <w:rStyle w:val="a3"/>
            <w:webHidden/>
            <w:sz w:val="16"/>
            <w:szCs w:val="16"/>
          </w:rPr>
        </w:r>
        <w:r w:rsidR="00BE670B" w:rsidRPr="00AF4210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17</w:t>
        </w:r>
        <w:r w:rsidR="00BE670B" w:rsidRPr="00AF4210">
          <w:rPr>
            <w:rStyle w:val="a3"/>
            <w:webHidden/>
            <w:sz w:val="16"/>
            <w:szCs w:val="16"/>
          </w:rPr>
          <w:fldChar w:fldCharType="end"/>
        </w:r>
      </w:hyperlink>
    </w:p>
    <w:p w:rsidR="00BE670B" w:rsidRPr="00AF4210" w:rsidRDefault="00BE670B" w:rsidP="00BE670B">
      <w:pPr>
        <w:tabs>
          <w:tab w:val="right" w:leader="dot" w:pos="9720"/>
        </w:tabs>
        <w:spacing w:line="360" w:lineRule="auto"/>
        <w:rPr>
          <w:rFonts w:ascii="Sylfaen" w:hAnsi="Sylfaen"/>
          <w:color w:val="auto"/>
          <w:sz w:val="16"/>
          <w:szCs w:val="16"/>
        </w:rPr>
      </w:pPr>
      <w:r w:rsidRPr="00AF4210">
        <w:rPr>
          <w:rFonts w:ascii="Sylfaen" w:hAnsi="Sylfaen"/>
          <w:color w:val="auto"/>
          <w:sz w:val="16"/>
          <w:szCs w:val="16"/>
        </w:rPr>
        <w:fldChar w:fldCharType="end"/>
      </w:r>
    </w:p>
    <w:p w:rsidR="00BE670B" w:rsidRPr="00AF4210" w:rsidRDefault="00BE670B" w:rsidP="00BE670B">
      <w:pPr>
        <w:spacing w:line="360" w:lineRule="auto"/>
        <w:rPr>
          <w:rFonts w:ascii="Sylfaen" w:hAnsi="Sylfaen"/>
          <w:color w:val="auto"/>
          <w:sz w:val="16"/>
          <w:szCs w:val="16"/>
        </w:rPr>
        <w:sectPr w:rsidR="00BE670B" w:rsidRPr="00AF4210">
          <w:pgSz w:w="11907" w:h="16840"/>
          <w:pgMar w:top="1440" w:right="1197" w:bottom="1440" w:left="990" w:header="709" w:footer="843" w:gutter="0"/>
          <w:pgNumType w:start="1" w:chapStyle="1"/>
          <w:cols w:space="720"/>
        </w:sectPr>
      </w:pPr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0" w:name="_Toc17732890"/>
      <w:bookmarkStart w:id="1" w:name="_Toc524700596"/>
      <w:r w:rsidRPr="00AF4210">
        <w:rPr>
          <w:rFonts w:ascii="Sylfaen" w:hAnsi="Sylfaen" w:cs="Sylfaen"/>
          <w:sz w:val="16"/>
          <w:szCs w:val="16"/>
        </w:rPr>
        <w:lastRenderedPageBreak/>
        <w:t>1. Ներածություն</w:t>
      </w:r>
      <w:bookmarkEnd w:id="0"/>
      <w:bookmarkEnd w:id="1"/>
    </w:p>
    <w:p w:rsidR="00BE670B" w:rsidRPr="00AF4210" w:rsidRDefault="00BE670B" w:rsidP="00BE670B">
      <w:pPr>
        <w:spacing w:line="360" w:lineRule="auto"/>
        <w:jc w:val="both"/>
        <w:rPr>
          <w:rFonts w:ascii="Sylfaen" w:hAnsi="Sylfaen"/>
          <w:b/>
          <w:color w:val="FF000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 w:cs="Sylfaen"/>
          <w:color w:val="auto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Հորբատեղ բնակավայրը ունի 257 բնակիչ և 78 տնային տնտեսություն: Բնակավայրը գտնվում է ՀՀ Վայոց Ձոր մարզի Եղեգնաձորի տարածաշրջանի Եղեգիս համայնքում: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հիմնական զբաղվածությունը անասնապահությունն ու դաշտավարությունն են: Դաշտավարության ոլորտում հիմնականում մշակվում է հացահատիկ, բազմամյա խոտ և կարտոֆիլ: Անասնապահության ոլորտում տնտեսություն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ոչխարաբուծությամբ: Համաձայն բնակավայրի վարչական մարմնի տրամադրած տեղեկատվության (</w:t>
      </w:r>
      <w:r w:rsidRPr="00AF4210">
        <w:rPr>
          <w:rFonts w:ascii="Sylfaen" w:hAnsi="Sylfaen" w:cs="Sylfaen"/>
          <w:bCs w:val="0"/>
          <w:color w:val="auto"/>
          <w:spacing w:val="0"/>
          <w:sz w:val="16"/>
          <w:szCs w:val="16"/>
        </w:rPr>
        <w:t>Տեղեկանք անասնագլխաքանակի և սեռահասակային կազմի վերաբերյալ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), առ 29.01.19թ.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հաշվառված է 396 գլուխ տարբեր սեռահասակային խմբերի խոշոր եղջերավոր և 789 գլուխ մանր եղջերավոր (ոչխար, այծեր, ուլեր և գառներ): Հորբատեղ բնակավայրում 2018թ. արտադրվել է մոտ 15000 կգ տավարի և 6500 կգ ոչխարի միս, (տվյալները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 փոփոխությամբ, պայմանավորված իրացված անասնագլխով):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խոշոր եղջերավորի (կովերի) պահվացքով զբաղվող տնտեսություններից 10%-ի (10 տնտեսություն) հետ հարցումներով պարզվել է, որ մեկ կովի տարեկան միջին կաթնատվությունը կազմում է միջինը 1500 լիտր, համաձայն այս ցուցանիշի, համայնքում արտադրվել է շուրջ 229500 (153 կով x 1500 լիտր) լիտր կաթ: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 անասնաբուծական արտադրանքի որոշ մասը սպառվում է բնակավայրում, իսկ մեծ մասը մթերվում է տարածաշրջանում գործող վերամշակող կազմակերպությունների կողմից: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անասնապահական մթերքների արտադրու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 արտադրական ներուժը ներկայում ցածր է: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խնդիրները, բարձրացնելով կովերի միջին կաթնատվությունը` մինչև 15-20%-ով, իսկ արտադրվող մսի քանակությունը շուրջ 12-15%-ով: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Վերջին տարիների ընթացքում ՀՀ-ում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խնդիրներին, այդ թվում նաև անասնապահության ոլորտի զարգացմանը, որի վկայությունն է ՌԶԳ ՀԿ-ի կողմից իրականացվող «Անասնապահության զարգացում Հայաստանի հարավում» ծրագրի սահմաններում բնական կերահանդակների կայուն կառավարման ու բարելավմանն ուղղված ծրագրային աշխատանքները: Իրականացվող ծրագրի շրջանակում մշակված և առաջարկվող արոտների կայուն կառավարման համակարգի ներդնումն անհրաժեշտ ենթակառուցվածքն</w:t>
      </w:r>
      <w:bookmarkStart w:id="2" w:name="_GoBack"/>
      <w:bookmarkEnd w:id="2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ֆերմերային տնտեսությունների եկամուտների բարձրացմանը:</w:t>
      </w:r>
    </w:p>
    <w:p w:rsidR="00BE670B" w:rsidRPr="00AF4210" w:rsidRDefault="00BE670B" w:rsidP="00BE670B">
      <w:pPr>
        <w:pStyle w:val="1"/>
        <w:spacing w:before="0" w:after="0" w:line="360" w:lineRule="auto"/>
        <w:ind w:firstLine="567"/>
        <w:rPr>
          <w:rFonts w:ascii="Sylfaen" w:hAnsi="Sylfaen" w:cs="Sylfaen"/>
          <w:color w:val="FF0000"/>
          <w:sz w:val="16"/>
          <w:szCs w:val="16"/>
        </w:rPr>
      </w:pPr>
      <w:bookmarkStart w:id="3" w:name="_Toc402354605"/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4" w:name="_Toc17732891"/>
      <w:bookmarkStart w:id="5" w:name="_Toc524700597"/>
      <w:r w:rsidRPr="00AF4210">
        <w:rPr>
          <w:rFonts w:ascii="Sylfaen" w:hAnsi="Sylfaen"/>
          <w:sz w:val="16"/>
          <w:szCs w:val="16"/>
        </w:rPr>
        <w:t xml:space="preserve">2. </w:t>
      </w:r>
      <w:r w:rsidRPr="00AF4210">
        <w:rPr>
          <w:rFonts w:ascii="Sylfaen" w:hAnsi="Sylfaen" w:cs="Sylfaen"/>
          <w:sz w:val="16"/>
          <w:szCs w:val="16"/>
        </w:rPr>
        <w:t>Հորբատեղ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բնակավայրի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գյուղատնտեսական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նշանակության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հողերի կառուցվածքը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և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սեփականության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ձևերը</w:t>
      </w:r>
      <w:bookmarkEnd w:id="3"/>
      <w:bookmarkEnd w:id="4"/>
      <w:bookmarkEnd w:id="5"/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Հորբատեղ բնակավայրի հողային ֆոնդի առկայության և բաշխման մասին հաշվետվության (ձև 22), բնակավայրի վարչական տարածքը զբաղեցնում է շուրջ 1949.51հա, որտեղ ըստ նպատակային նշանակության գյուղատնտեսական հողատեսքերը, ներառյալ տնամերձ հողերը, կազմում են </w:t>
      </w:r>
      <w:r w:rsidRPr="00AF4210">
        <w:rPr>
          <w:rFonts w:ascii="Sylfaen" w:hAnsi="Sylfaen"/>
          <w:color w:val="auto"/>
          <w:sz w:val="16"/>
          <w:szCs w:val="16"/>
        </w:rPr>
        <w:t>1863.26+36.01=1899.27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հա (աղյուսակ 1): Գյուղատնտեսական նշանակության հողատեսքերի միայն 53.39 %-ն հանդիսանում է պետական սեփականություն, իսկ 46.61 %-ը համայնքային և համայնքի բնակիչների մասնավոր սեփականությունն է: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գործառնական նշանակության գյուղատնտեսական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հողատեսքերի  74.11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%-ը կազմում են բնական արոտները, որի շուրջ 55.92%-ը պետական սեփականություն է: </w:t>
      </w:r>
    </w:p>
    <w:p w:rsidR="00BE670B" w:rsidRPr="00AF4210" w:rsidRDefault="00BE670B" w:rsidP="00BE670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Հորբատեղ բնակավայրում</w:t>
      </w:r>
    </w:p>
    <w:tbl>
      <w:tblPr>
        <w:tblW w:w="7812" w:type="dxa"/>
        <w:jc w:val="center"/>
        <w:tblInd w:w="1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1071"/>
        <w:gridCol w:w="1320"/>
        <w:gridCol w:w="1604"/>
        <w:gridCol w:w="1319"/>
      </w:tblGrid>
      <w:tr w:rsidR="00BE670B" w:rsidRPr="00AF4210" w:rsidTr="00BE670B">
        <w:trPr>
          <w:trHeight w:val="64"/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Գյուղատնտեսական հողատեսքեր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BE670B" w:rsidRPr="00AF4210" w:rsidTr="00BE670B">
        <w:trPr>
          <w:trHeight w:val="1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BE670B" w:rsidRPr="00AF4210" w:rsidTr="00BE670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50.10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41.83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8.27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E670B" w:rsidRPr="00AF4210" w:rsidTr="00BE670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E670B" w:rsidRPr="00AF4210" w:rsidTr="00BE670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48.24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35.96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12.28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E670B" w:rsidRPr="00AF4210" w:rsidTr="00BE670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1380.87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1.00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607.57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772.30</w:t>
            </w:r>
          </w:p>
        </w:tc>
      </w:tr>
      <w:tr w:rsidR="00BE670B" w:rsidRPr="00AF4210" w:rsidTr="00BE670B">
        <w:trPr>
          <w:trHeight w:val="208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384.59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384.59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BE670B" w:rsidRPr="00AF4210" w:rsidTr="00BE670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հեռագնա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998.28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222.98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772.30</w:t>
            </w:r>
          </w:p>
        </w:tc>
      </w:tr>
      <w:tr w:rsidR="00BE670B" w:rsidRPr="00AF4210" w:rsidTr="00BE670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383.88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161.25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222.63</w:t>
            </w:r>
          </w:p>
        </w:tc>
      </w:tr>
      <w:tr w:rsidR="00BE670B" w:rsidRPr="00AF4210" w:rsidTr="00BE670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1836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78.79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789.54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994.93</w:t>
            </w:r>
          </w:p>
        </w:tc>
      </w:tr>
    </w:tbl>
    <w:p w:rsidR="00BE670B" w:rsidRPr="00AF4210" w:rsidRDefault="00BE670B" w:rsidP="00BE670B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" w:name="_Toc402354606"/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Այսպիսով, Հորբատեղ բնակավայրում առկա են 1380.87 հա արոտային տարածքներ, իսկ խոշոր և մանր եղջերավոր անասունների քանակը, ինչպես ցույց կտրվի հետագայում (աղյուսակ 11), կազմում է 355 պայմանական գլուխ (ՊԳ), այսինքն 1 ՊԳ-ին համայնքում առկա է շուրջ 3.9 հա արոտային տարածք, որը կրկնակի և ավել անգամ բարձր ցուցանիշ է «Արոտների և խոտհարքների օգտագործման կարգի» վերաբերյալ ՀՀ Կառավարության 2011թ. № 389-ն որոշմամբ նախատեսված նորմատիվը: Բնակավայրում հաշվառված անասնագլխի արոտային կերապահովման համար, անհրաժեշտ պայման է համարվում առկա արոտավայրերի կայուն կառվարման կարգերի գործարկումը: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pStyle w:val="1"/>
        <w:spacing w:before="0" w:after="0"/>
        <w:jc w:val="center"/>
        <w:rPr>
          <w:rFonts w:ascii="Sylfaen" w:hAnsi="Sylfaen" w:cs="Sylfaen"/>
          <w:sz w:val="16"/>
          <w:szCs w:val="16"/>
        </w:rPr>
      </w:pPr>
      <w:bookmarkStart w:id="7" w:name="_Toc17732892"/>
      <w:bookmarkStart w:id="8" w:name="_Toc524700598"/>
      <w:r w:rsidRPr="00AF4210">
        <w:rPr>
          <w:rFonts w:ascii="Sylfaen" w:hAnsi="Sylfaen"/>
          <w:sz w:val="16"/>
          <w:szCs w:val="16"/>
        </w:rPr>
        <w:t xml:space="preserve">3. </w:t>
      </w:r>
      <w:r w:rsidRPr="00AF4210">
        <w:rPr>
          <w:rFonts w:ascii="Sylfaen" w:hAnsi="Sylfaen" w:cs="Sylfaen"/>
          <w:sz w:val="16"/>
          <w:szCs w:val="16"/>
        </w:rPr>
        <w:t>Բնակավայրի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անասնագլխաքանակն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ըստ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տնտեսությունների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և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անասնակերի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պահանջը</w:t>
      </w:r>
      <w:bookmarkEnd w:id="6"/>
      <w:bookmarkEnd w:id="7"/>
      <w:bookmarkEnd w:id="8"/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Ինչպես Հայաստանի հանրապետության բոլոր բնակավայրերում, Հորբատեղ բնակավայրում նույնպես հիմնականում բուծվում է խոշոր եղջերավորի (ԽԵԿ)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ուղղություններով, կան նաև Կովկասյան գորշի խառնածիններ, առանձին դեպքերում Շվիցի հետնորդներ: Կենդանիներն ապահովում են բնակավայրի տնտեսությունների, ինչպես նաև քաղաքային բնակչության մասնակի պահանջարկը կաթնամթերքի և մսամթերքի նկատմամբ: Ըստ համայնքապետարանի տեղեկատվության, բնակավայրում շուրջ 48 տնտեսություններ զբաղված են խոշոր եղջերավոր անասունների (ԽԵԿ) պահվածքով, 30 տնտեսություններ նաև մանր եղջերավոր անասունների (ՄԵԿ), մասնավորապես բալբաս և կիսակոպտաբուրդ ցեղատեսակներին պատկանող ոչխարների պահվածքով, 3 տնտեսություններ զբաղվում են նաև խոզաբուծությամբ: Այսպիսով, բնակավայրում առկա է 396 գլուխ ԽԵԿ և 789 գլուխ ՄԵԿ` ոչխար, այծեր և գառներ, որոնք կերակրվում են բնակավայրի վարչական տարածքում առկա արոտավայրերից և այլընտրանքային կերապահովման տարածքներից ստացվող կանաչ զանգվածով և չոր խոտով: Աղյուսակ 2-ում բերված է բնակավայրում հաշվառված անասնագլխաքանակի բաշխվածությունն ըստ տնային տնտեսությունների, որը ցույց է տալիս, որ տնտեսությունների գերակշիռ մեծամասնությունը ունեն 1-5 գլուխ ԽԵԿ: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Տարբեր տարիներին բնակավայրում հաշվառված անասնագլխի տվյալների ուսումնասիրումով պարզվել է, որ վերջին տարիների ընթացքում որոշ տնային տնտեսութուններում տեղի է ունենում ԽԵԿ-ի և ՄԵԿ-ի գլխաքանակի աստիճանական ավելացում: Բնակավայրում 6-10 գլուխ ԽԵԿ ունեն համապատասխանաբար տնտեսությունների 20.8 %-ը (աղ. 2):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Մեր հարցազրույցներից պարզվել է, որ մսուրային շրջանին անհրաժեշտ որակյալ կերի կայուն բազայի ստեղծման հիմնական խոչընդոտների հաղթահարումից հետո`անմշակ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ներդրմամբ և արդյունավետ օգտագործման անհրաժեշտ ենթակառուցվածքների (ջրելատեղ, մակատեղ) ստեղծումով արոտների օգտագործման հնարավորությունների և հասանելիության մեծացումը, էականորեն նպաստելու են բնակավայրում անասնապահության ոլորտի հետագա զարգացման, և անասնապահությամբ զբաղվող տնտեսությունների քանակի ու եկամուտների ավելացմանը</w:t>
      </w:r>
    </w:p>
    <w:p w:rsidR="00BE670B" w:rsidRPr="00AF4210" w:rsidRDefault="00BE670B" w:rsidP="00BE670B">
      <w:pPr>
        <w:spacing w:line="360" w:lineRule="auto"/>
        <w:ind w:firstLine="720"/>
        <w:jc w:val="right"/>
        <w:rPr>
          <w:rFonts w:ascii="Sylfaen" w:hAnsi="Sylfaen"/>
          <w:color w:val="auto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2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</w:p>
    <w:p w:rsidR="00BE670B" w:rsidRPr="00AF4210" w:rsidRDefault="00BE670B" w:rsidP="00BE670B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bookmarkStart w:id="9" w:name="_Toc402354607"/>
      <w:r w:rsidRPr="00AF4210">
        <w:rPr>
          <w:rFonts w:ascii="Sylfaen" w:hAnsi="Sylfaen" w:cs="Sylfaen"/>
          <w:color w:val="FF0000"/>
          <w:sz w:val="16"/>
          <w:szCs w:val="16"/>
        </w:rPr>
        <w:t xml:space="preserve"> </w:t>
      </w:r>
    </w:p>
    <w:tbl>
      <w:tblPr>
        <w:tblW w:w="9210" w:type="dxa"/>
        <w:jc w:val="center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523"/>
        <w:gridCol w:w="1689"/>
        <w:gridCol w:w="1538"/>
        <w:gridCol w:w="1532"/>
        <w:gridCol w:w="1528"/>
      </w:tblGrid>
      <w:tr w:rsidR="00BE670B" w:rsidRPr="00AF4210" w:rsidTr="00BE670B">
        <w:trPr>
          <w:trHeight w:val="1242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 քանակը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քանակը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Խոզերի քանակը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</w:tr>
      <w:tr w:rsidR="00BE670B" w:rsidRPr="00AF4210" w:rsidTr="00BE670B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BE670B" w:rsidRPr="00AF4210" w:rsidTr="00BE670B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</w:tr>
      <w:tr w:rsidR="00BE670B" w:rsidRPr="00AF4210" w:rsidTr="00BE670B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</w:t>
            </w:r>
          </w:p>
        </w:tc>
      </w:tr>
      <w:tr w:rsidR="00BE670B" w:rsidRPr="00AF4210" w:rsidTr="00BE670B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BE670B" w:rsidRPr="00AF4210" w:rsidTr="00BE670B">
        <w:trPr>
          <w:trHeight w:val="331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</w:t>
            </w:r>
          </w:p>
        </w:tc>
      </w:tr>
    </w:tbl>
    <w:p w:rsidR="00BE670B" w:rsidRPr="00AF4210" w:rsidRDefault="00BE670B" w:rsidP="00BE670B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r w:rsidRPr="00AF4210">
        <w:rPr>
          <w:rFonts w:ascii="Sylfaen" w:hAnsi="Sylfaen" w:cs="Sylfaen"/>
          <w:color w:val="FF0000"/>
          <w:sz w:val="16"/>
          <w:szCs w:val="16"/>
        </w:rPr>
        <w:t xml:space="preserve">                                 </w:t>
      </w:r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0" w:name="_Toc17732893"/>
      <w:bookmarkStart w:id="11" w:name="_Toc524700599"/>
      <w:r w:rsidRPr="00AF4210">
        <w:rPr>
          <w:rFonts w:ascii="Sylfaen" w:hAnsi="Sylfaen"/>
          <w:sz w:val="16"/>
          <w:szCs w:val="16"/>
        </w:rPr>
        <w:t xml:space="preserve">3.1 </w:t>
      </w:r>
      <w:r w:rsidRPr="00AF4210">
        <w:rPr>
          <w:rFonts w:ascii="Sylfaen" w:hAnsi="Sylfaen" w:cs="Sylfaen"/>
          <w:sz w:val="16"/>
          <w:szCs w:val="16"/>
        </w:rPr>
        <w:t>Անասնակերի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պահանջի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հաշվարկ</w:t>
      </w:r>
      <w:bookmarkEnd w:id="9"/>
      <w:bookmarkEnd w:id="10"/>
      <w:bookmarkEnd w:id="11"/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2.5%-ի չափով չոր բուսազանգված (ՉԶ): Կերի պահանջը հաշվարկվում են հիմնվելով բույսի ՉԶ-ի վրա, որն ապահովում է ճշգրիտ տվյալներ, քանի որ այստեղ վերանում է վեգետացիայի ընթացքում կանաչ զանգվածում տեղի ունեցող խոնավության փոփոխության հետ կապված հնարավոր սխալը զանգված հաշվարկելիս: Հիմնվելով այս մեթոդին հաշվարկվել է բնակավայրում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 համար,  որն ամփոփված է աղյուսակ 3-ում: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(մայիսի առաջին տասնօրյակից  մինչև նոյեմբերի առաջին տասնօրյակը), իսկ մանր եղջերավորի (ոչխարի) արոտային շրջանը կազմում է 250 օր (ապրիլի առաջին տասնօրյակից մինչև դեկտեմբերի առաջին տասնօրյակը,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գառների համար`210 օր (մայիսի առաջին տասնօրյակից մինչև դեկտեմբերի առաջին տասնօրյակը): Ինչպես երևում է աղյուսակ  3-ում բերված տվյալներից, բնակավայրում հաշվառված որոճող գյուղատնտեսական կենդանիների ՉԶ-ի ընդհանուր օրական պահանջը կազմում է 3569.7 կգ, որի 75.9 %-ը բաժին է ընկնում խոշոր եղջերավոր կենդանիներին: Արոտային շրջանում առկա անասնագլխի արոտակերի պահանջը կազմում է 714995 կգ, (714.9 տ), իսկ մսուրային ժամանակահատվածի համար 578045.5 կգ, (578.0 տ):</w:t>
      </w:r>
    </w:p>
    <w:p w:rsidR="00BE670B" w:rsidRPr="00AF4210" w:rsidRDefault="00BE670B" w:rsidP="00BE670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BE670B" w:rsidRPr="00AF4210" w:rsidRDefault="00BE670B" w:rsidP="00BE670B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անասնագլխի համար պահանջվող չոր զանգվածի (ՉԶ-խոտի) հաշվարկ (մարմնի կշիռ x 0.025)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951"/>
        <w:gridCol w:w="1134"/>
        <w:gridCol w:w="1439"/>
        <w:gridCol w:w="1049"/>
        <w:gridCol w:w="1702"/>
        <w:gridCol w:w="1718"/>
      </w:tblGrid>
      <w:tr w:rsidR="00BE670B" w:rsidRPr="00AF4210" w:rsidTr="00BE670B">
        <w:trPr>
          <w:trHeight w:val="20"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Գյուղ.</w:t>
            </w:r>
          </w:p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Մարմնի միջին կշիռ, կգ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1-գլխի ՉԶ-ի պահանջ, կգ/օր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պահանջ,կգ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Արոտային շրջանում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Մսուրային շրջանում</w:t>
            </w:r>
          </w:p>
        </w:tc>
      </w:tr>
      <w:tr w:rsidR="00BE670B" w:rsidRPr="00AF4210" w:rsidTr="00BE670B">
        <w:trPr>
          <w:trHeight w:val="53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ԲxԴ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x արած.օր,</w:t>
            </w:r>
          </w:p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ԽԵԿ </w:t>
            </w: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190 օր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ՄԵԿ </w:t>
            </w: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- 250օր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մսուր.օր,</w:t>
            </w:r>
          </w:p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ԽԵԿ</w:t>
            </w: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-175օր 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ՄԵԿ-115օր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290700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267750</w:t>
            </w:r>
          </w:p>
        </w:tc>
      </w:tr>
      <w:tr w:rsidR="00BE670B" w:rsidRPr="00AF4210" w:rsidTr="00BE670B">
        <w:trPr>
          <w:trHeight w:val="589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66880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61600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52800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57750</w:t>
            </w:r>
          </w:p>
        </w:tc>
      </w:tr>
      <w:tr w:rsidR="00BE670B" w:rsidRPr="00AF4210" w:rsidTr="00BE670B">
        <w:trPr>
          <w:trHeight w:val="49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42750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39375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52.5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9975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9187.5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41800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38500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396.2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99050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45563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85000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39100</w:t>
            </w:r>
          </w:p>
        </w:tc>
      </w:tr>
      <w:tr w:rsidR="00BE670B" w:rsidRPr="00AF4210" w:rsidTr="00BE670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Գառ+ուլեր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26040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19220</w:t>
            </w:r>
          </w:p>
        </w:tc>
      </w:tr>
      <w:tr w:rsidR="00BE670B" w:rsidRPr="00AF4210" w:rsidTr="00BE670B">
        <w:trPr>
          <w:trHeight w:val="6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3569.7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714995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578045.5</w:t>
            </w:r>
          </w:p>
        </w:tc>
      </w:tr>
    </w:tbl>
    <w:p w:rsidR="00BE670B" w:rsidRPr="00AF4210" w:rsidRDefault="00BE670B" w:rsidP="00BE670B">
      <w:pPr>
        <w:rPr>
          <w:rFonts w:ascii="Sylfaen" w:hAnsi="Sylfaen"/>
          <w:sz w:val="16"/>
          <w:szCs w:val="16"/>
        </w:rPr>
      </w:pPr>
      <w:bookmarkStart w:id="12" w:name="_Toc402354608"/>
      <w:bookmarkStart w:id="13" w:name="_Toc524700600"/>
      <w:r w:rsidRPr="00AF4210">
        <w:rPr>
          <w:rFonts w:ascii="Sylfaen" w:hAnsi="Sylfaen" w:cs="Sylfaen"/>
          <w:b/>
          <w:sz w:val="16"/>
          <w:szCs w:val="16"/>
        </w:rPr>
        <w:t>Ծանոթություն</w:t>
      </w:r>
      <w:r w:rsidRPr="00AF4210">
        <w:rPr>
          <w:rFonts w:ascii="Sylfaen" w:hAnsi="Sylfaen"/>
          <w:sz w:val="16"/>
          <w:szCs w:val="16"/>
        </w:rPr>
        <w:t xml:space="preserve">` </w:t>
      </w:r>
      <w:r w:rsidRPr="00AF4210">
        <w:rPr>
          <w:rFonts w:ascii="Sylfaen" w:hAnsi="Sylfaen" w:cs="Sylfaen"/>
          <w:sz w:val="16"/>
          <w:szCs w:val="16"/>
        </w:rPr>
        <w:t>գառների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արոտային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շրջանը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կազմում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է</w:t>
      </w:r>
      <w:r w:rsidRPr="00AF4210">
        <w:rPr>
          <w:rFonts w:ascii="Sylfaen" w:hAnsi="Sylfaen"/>
          <w:sz w:val="16"/>
          <w:szCs w:val="16"/>
        </w:rPr>
        <w:t xml:space="preserve"> 210 </w:t>
      </w:r>
      <w:r w:rsidRPr="00AF4210">
        <w:rPr>
          <w:rFonts w:ascii="Sylfaen" w:hAnsi="Sylfaen" w:cs="Sylfaen"/>
          <w:sz w:val="16"/>
          <w:szCs w:val="16"/>
        </w:rPr>
        <w:t>օր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մայիսի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առաջին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տասնօրյակից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մինջև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դեկտեմբերի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առաջին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տասնօրյակը</w:t>
      </w:r>
    </w:p>
    <w:p w:rsidR="00BE670B" w:rsidRPr="00AF4210" w:rsidRDefault="00BE670B" w:rsidP="00BE670B">
      <w:pPr>
        <w:pStyle w:val="1"/>
        <w:spacing w:before="0" w:after="0" w:line="360" w:lineRule="auto"/>
        <w:rPr>
          <w:rFonts w:ascii="Sylfaen" w:hAnsi="Sylfaen"/>
          <w:b w:val="0"/>
          <w:sz w:val="16"/>
          <w:szCs w:val="16"/>
        </w:rPr>
      </w:pPr>
      <w:bookmarkStart w:id="14" w:name="_Toc17732894"/>
      <w:r w:rsidRPr="00AF4210">
        <w:rPr>
          <w:rFonts w:ascii="Sylfaen" w:hAnsi="Sylfaen"/>
          <w:sz w:val="16"/>
          <w:szCs w:val="16"/>
        </w:rPr>
        <w:t xml:space="preserve">4. </w:t>
      </w:r>
      <w:r w:rsidRPr="00AF4210">
        <w:rPr>
          <w:rFonts w:ascii="Sylfaen" w:hAnsi="Sylfaen" w:cs="Sylfaen"/>
          <w:sz w:val="16"/>
          <w:szCs w:val="16"/>
        </w:rPr>
        <w:t>Բնակավայրի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ֆիզիկաաշխարհագրական</w:t>
      </w:r>
      <w:bookmarkStart w:id="15" w:name="_Toc402354609"/>
      <w:bookmarkEnd w:id="12"/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առանձնահատկությունները</w:t>
      </w:r>
      <w:bookmarkEnd w:id="13"/>
      <w:bookmarkEnd w:id="14"/>
      <w:bookmarkEnd w:id="15"/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Հորբատեղ բնակավայրը աշխարհագրական տեղադրվածությամբ գտնվում է ՀՀ Վայոց Ձոր մարզի Եղեգնաձորի տարածաշրջանում, ծովի մակարդակից շուրջ 1880 մ բարձրության վրա: Բնակավայրի վարչական տարածքը տարածված է Վարդենիսի  լեռների  հարավ-արևմտյան կողմնադրման լանջերի ցածրադիր, միջին և վերին բարձրության սարավանդներում, ծովի մակարդակից 1600 մ-ից մինչև 3300 մ բարձրությունները, ներառնվելով հետևյալ բնական լանդշաֆտային գոտիներում՝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ա)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լեռնաանտառային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գոտի                                 ( ծ.մ.1600-2300 մ),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բ)  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( ծ.մ.2300-2700 մ), 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գ)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ալպյան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         ( ծ.մ.2700-3300 մ),  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ձևավորված հողերի համար, որպես մայրական տեսակներ են հանդիսացել հրաբխածին և նստվածքային ապարները` հիմնականում անդեզիտո-բազալտային, անդեզիտային, տուֆային առավել սակավ՝ թերթաքարային կվարցերը, գրանիտները և տրավերտինները: Սրանց հողմնհարման արդյունքում ձևավորված տարրերը առավելապես դելյուվիալ, դելյուվիալ-պրոլյուվիալ, ալյուվիալ-պրոլյուվիալ գետահունային բերվածքների, ինչպես նաև մայրական ապարների լերկացման տեսքով առաջացրել են գենետիկական նստվածքներ, որոնցից և ձևավորվել են ներկայիս հողատիպերը (գորշ անտառային խճաքարային, տիպիկ մարգագետնատափաստանային, լեռնամարգագետնային թույլ և ուժեղ ճմակալած, լեռնամարգագետնային ճմատորֆային և դարչնագույն  հողեր): Հողերի քարքարոտվածությունը բարձրադիր մասերւոմ բարձր է և կազմում է 15-19 %: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spacing w:val="0"/>
          <w:sz w:val="16"/>
          <w:szCs w:val="16"/>
        </w:rPr>
        <w:t xml:space="preserve">ա) Լեռնաանտառային գոտին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ընդգրկում է Վարդենիսի լեռների հարավ արևմտյան կողմնադրման լանջերի ցածրադիր հատվածները և հարակից լեռնային սարավանդները ծովի մակարդակից մինչև </w:t>
      </w:r>
      <w:r w:rsidRPr="00AF4210">
        <w:rPr>
          <w:rFonts w:ascii="Sylfaen" w:hAnsi="Sylfaen"/>
          <w:bCs w:val="0"/>
          <w:spacing w:val="0"/>
          <w:sz w:val="16"/>
          <w:szCs w:val="16"/>
        </w:rPr>
        <w:t>2300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մ. բարձրությամբ: Կլիման բարեխառն լեռնային է, տաք ամառ և ցուրտ ձմեռ, կայուն ձնածածկույթով: Ամենաբարձր դրական ջերմաստիճանը ամռանը կազմում է +38,0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իսկ ամենացուրտ եղանակը գրանցվում է հունվար ամսին, միջինը -18-22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BE670B" w:rsidRPr="00AF4210" w:rsidRDefault="00BE670B" w:rsidP="00BE670B">
      <w:pPr>
        <w:spacing w:line="360" w:lineRule="auto"/>
        <w:ind w:firstLine="54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Մթնոլորտային տեղումների տարեկան քանակը կազմում է 450-500 մմ: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Հողային ֆոնդը միջին և բարձր քարքարոտվածությամբ, հիմնականում բաղկացած է միջին և բարձր հզորությամբ լեռնաշագանակագույն հողերից և լեռնաանտառային դարչնագույն հողատիպերից: Մակերևույթային հոսքերը միջին արտահայտվածությամբ, առավել գերակշռում են ստորերկրյա հոսքերը: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Համեմատաբար չոր կլիմայի պայմաններում, բնական լանդշաֆտներում օրգանական նյութի քայքայումը ինտեսիվ ձևով է կատարվում, որի հետևանքով գոտուն բնորոշ տարատեսակ հողերում հումուսի պարունակությունը կազմում է 6-8 %: Հողածածկը միջին քարքարոտությամբ, հզորությունը մինջև 35-50 սմ: 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Բուսականությունը` հիմնականում դաշտավլուկազգի-տարախոտային լեռնատափաստանային է: Բնական բուսածածկոցում ամենուրեք գերիշխում են տարբեր սիզախոտեր, շյուղախոտեր, աղվեսագին, ոզնախոտը, ցորնուկը, դաշտավլուկը, սեզը, սիզախոտը, դաշտամոլախոտային վիկերը, հազարատերևուկը, օշինդրերը, իշակաթնուկը, երեքնուկներ և այլն: Մեծ թեքությամբ լանջերին հանդիպում են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փշաբարձային և վատորակ աստրագալային կիսաթփուտների զգալի տարածվածություն, առանձին հատվածներում մակերևույթային հողմնահարման և էռոզիաների հետևանքով առկա են մայրական ապարների ելքեր քարաբեկորների տեսքով: Առավել բարձրադիր հատվածների լեռնալանջերում հատվածներով տարածվում է երկրորդական ծագման թփուտային տարածքները: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Բուսածածկում հիմնականում գերակշռում են մեզոֆիտ տեսակները, որի պատճառով առաջացել են կերհանդակների շատ տիպեր, որոնք հիմնականում օգտագործվում են որպես արոտավայրեր: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 w:cs="Sylfaen"/>
          <w:sz w:val="16"/>
          <w:szCs w:val="16"/>
        </w:rPr>
      </w:pPr>
      <w:r w:rsidRPr="00AF4210">
        <w:rPr>
          <w:rFonts w:ascii="Sylfaen" w:hAnsi="Sylfaen"/>
          <w:b/>
          <w:bCs w:val="0"/>
          <w:spacing w:val="0"/>
          <w:sz w:val="16"/>
          <w:szCs w:val="16"/>
        </w:rPr>
        <w:t>բ) Մերձալպյան գոտի</w:t>
      </w:r>
      <w:bookmarkStart w:id="16" w:name="_Toc524700601"/>
      <w:bookmarkStart w:id="17" w:name="_Toc402354610"/>
      <w:r w:rsidRPr="00AF4210">
        <w:rPr>
          <w:rFonts w:ascii="Sylfaen" w:hAnsi="Sylfaen"/>
          <w:b/>
          <w:bCs w:val="0"/>
          <w:spacing w:val="0"/>
          <w:sz w:val="16"/>
          <w:szCs w:val="16"/>
        </w:rPr>
        <w:t xml:space="preserve">,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 է Վարդենիսի լեռնաշղթայի հարավային կողմնադրության բարձրադիր լանջերը՝ ծ.մ. 2300-2700մ բարձրությունները: Բնական գործընթացներն այստեղ ընթանում են ցածր ջերմաստիճանների և համեմատաբար առատ խոնավության պայմաններում: Ձմեռն այստեղ տևական է (4-4.5 ամիս) և միջին ձնառատությամբ: Ձմռան ամիսներին օդի միջին ջերմաստիճանը -12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BE670B" w:rsidRPr="00AF4210" w:rsidRDefault="00BE670B" w:rsidP="00BE670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սևահողերով: Արգավանդ հողաշերտը հաճախ գերազանցելում է     40-50սմ-ը: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550-650 մմ: Գոտին բնութագրվում է բավականին բարձր բուսապատվածությամբ և հարուստ տեսակային կազմերով, հանդիպում են շուրջ 75-85 տեսակներ:</w:t>
      </w:r>
    </w:p>
    <w:p w:rsidR="00BE670B" w:rsidRPr="00AF4210" w:rsidRDefault="00BE670B" w:rsidP="00BE670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գ) Բարձր լեռնային ալպյան լեռնամարգագետնային գոտի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ընդգրկում է Վարդենիսի լեռնաշխթայի հարավ-արևմտյան կողմնադրության բարձրադիր լանջերը՝ 2700-3300մ բարձրությունները: Բնական գործընթացներն այստեղ ընթանում են ցածր ջերմաստիճանի և առատ խոնավության պայմաններում: Ձմեռը տևական է 4.5-5 ամիս, ձնառատ: Ձմռանը օդի միջին ջերմաստիճանը -10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 է, նվազագույնը մինչև -34-36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ժամանակահատվածը 2.5-3 ամիս է: գոտին բնութագրվում է հիմնականում լեռնամարգագետնային ուժեղ ճմակալված, լեռնամարգագետնային ճմատորֆային և ճմակալված դարչնագույն մեծ հզորությամբ հողերի գերակշռությամբ: Բուսածածկը ցածր է 8-12սմ բարձրությամբ, օժտված արագ աճեցողությամբ: Այս գոտու լանդշաֆտներում ձևավորված են ալպյան գորգերը, որոնք հաճախ խախտվում են ժայռերով և չինգիլներով: Բուսական ծածկոցի կազմը հիմնականում պայմանավորված է լանջերի դիրքադրումից և քարային կուտակումների միկրոպայմաններից: Գոտու արոտավայրերի որոշ մասը օգտագործվում է հեռագնա ճամբարային պահվածքով: </w:t>
      </w:r>
    </w:p>
    <w:p w:rsidR="00BE670B" w:rsidRPr="00AF4210" w:rsidRDefault="00BE670B" w:rsidP="00BE670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pStyle w:val="2"/>
        <w:spacing w:before="0" w:after="0" w:line="360" w:lineRule="auto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18" w:name="_Toc17732895"/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4.1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Արոտատեղամասերի էկոլոգիական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գնահատում</w:t>
      </w:r>
      <w:bookmarkEnd w:id="16"/>
      <w:bookmarkEnd w:id="17"/>
      <w:bookmarkEnd w:id="18"/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color w:val="auto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Հորբատեղ բնակավայրի վարչական տարածքում բ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նական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ո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տներ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(նոր քարտեզագրումով ստացված տվյալներով) կազմում են 1380.87 հա,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ինչը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բնականաբար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կարևորագույն ռեսուրս է բնակավայրի պայմաններում անասնապահության ոլորտին անհրաժեշտ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արոտային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շրջանի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կերապահովման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խնդրի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լուծմ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գործում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Բնակավայրի արոտավայրերը տարածված են վերը նշված լանդշաֆտային գոտիների տարբեր բարձրություններում, որտեղ էականորեն տարբերվում են ինչպես բուսատեղի պայմանները, այնպես էլ ձևավորվող բուսածածկն ու բուսապատվածության աստիճանը (աղ.4): </w:t>
      </w:r>
    </w:p>
    <w:p w:rsidR="00BE670B" w:rsidRPr="00AF4210" w:rsidRDefault="00BE670B" w:rsidP="00BE670B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Աղյուսակ 4</w:t>
      </w:r>
    </w:p>
    <w:p w:rsidR="00BE670B" w:rsidRPr="00AF4210" w:rsidRDefault="00BE670B" w:rsidP="00BE670B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գոտիների արոտավայրերում առկա տարրեր և </w:t>
      </w:r>
    </w:p>
    <w:p w:rsidR="00BE670B" w:rsidRPr="00AF4210" w:rsidRDefault="00BE670B" w:rsidP="00BE670B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բուսապատվածություն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(%)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1"/>
        <w:gridCol w:w="1418"/>
        <w:gridCol w:w="1277"/>
        <w:gridCol w:w="1277"/>
        <w:gridCol w:w="1418"/>
      </w:tblGrid>
      <w:tr w:rsidR="00BE670B" w:rsidRPr="00AF4210" w:rsidTr="00BE670B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Քարքա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րոտու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թյունը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Ժայռոտ ափերով ձորեր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ծածկ տարածք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Լանդշաֆտային գոտի</w:t>
            </w:r>
          </w:p>
        </w:tc>
      </w:tr>
      <w:tr w:rsidR="00BE670B" w:rsidRPr="00AF4210" w:rsidTr="00BE670B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Թեք դոշեր-1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26.79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Թեք դոշեր-2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Արխանա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Արմինի տարածք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Պաժառնի-1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Պաժառնի-2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Հացենիներ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Կարմրահողե-1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Կարմրահողեր-2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Արևկող-1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99.6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Արևկող-2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112.79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1/2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Լալի խոզանոց-1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108.28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2/1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Լալի խոզանոց-2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Գարիներ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117.32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Զովունի-1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92.96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Զովունի-2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143.56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Զովունի-3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93.92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Զովունի-4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104.33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Զույգ արխաջներ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107.92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</w:tbl>
    <w:p w:rsidR="00BE670B" w:rsidRPr="00AF4210" w:rsidRDefault="00BE670B" w:rsidP="00BE670B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աղյուսակում լանդշաֆտային գոտին ներկայացված է համապատասխան թվով`  </w:t>
      </w:r>
    </w:p>
    <w:p w:rsidR="00BE670B" w:rsidRPr="00AF4210" w:rsidRDefault="00BE670B" w:rsidP="00BE670B">
      <w:pPr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1-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լեռնաանտառային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, 2- մերձալպյան, 3-ալպյան լեռնամարգագետնային:</w:t>
      </w:r>
    </w:p>
    <w:p w:rsidR="00BE670B" w:rsidRPr="00AF4210" w:rsidRDefault="00BE670B" w:rsidP="00BE670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Նշված գոտիներում առանձնացվել են 19 արոտատեղամասեր (տես` աղյուսակ 4): Արոտատեղամասերի առանձնացումը կատարվել է երկու մոտեցմամբ, ըստ լանդշաֆտային գոտու բարձրությունների և ռելիեֆի ձևաբանական միավորների (գետահովիտներ, բլրաշարեր և այլն): Իսկ արոտատեղամասերի էկոլոգիական իրավիճակի գնահատումը կատարվել է հիմնականում դաշտային ուսումնասիրությունների` մոնիտորինգի արդյունքում, ինչպես նաև կամերալ պայմաններում տիեզերական նկարների վիզուալ վերծանմամբ: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spacing w:val="0"/>
          <w:sz w:val="16"/>
          <w:szCs w:val="16"/>
        </w:rPr>
        <w:t xml:space="preserve">Լեռնաանտառային 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լանդշաֆտային գոտում է գտնվում արոտավայրերի 35.65 </w:t>
      </w:r>
      <w:r w:rsidRPr="00AF4210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AF4210">
        <w:rPr>
          <w:rFonts w:ascii="Sylfaen" w:hAnsi="Sylfaen"/>
          <w:bCs w:val="0"/>
          <w:spacing w:val="0"/>
          <w:sz w:val="16"/>
          <w:szCs w:val="16"/>
        </w:rPr>
        <w:t>(492.23),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 առանձնացվել են Թեք դոշեր-1: 2, Արխանա, Արմինի տարածք, Պաժառնի-1: 2, Հացենիներ և Կարմրահողեր-1 արոտավայրերն, ինչպես նաև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Կարմրահողեր-2 և Լալի խոզանոց-1  արոտավայրերի ցածրադիր հատվածները: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արոտավայրերին բնորոշ է քարքարոտության միջին աստիճան, մինջև 4-15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%: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 Էկոլոգիական գնահատման տեսակետից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բնակավայրամերձ այս արոտատեղում առկա է բուսածածկի հիմնականում միջին, մասամբ նաև բարձր դեգրադացվածություն, պայմանավորված գերօգտագործվածության բարձր մակարդակով: Որոշ հատվածներում զգալի տարածում ունեն կիսաթփուտային բուսուտների տարածվածությունը (1.8-3.0%), արոտատեղամասերում միջին բուսապատվածությունն կազմում է </w:t>
      </w:r>
      <w:r w:rsidRPr="00AF4210">
        <w:rPr>
          <w:rFonts w:ascii="Sylfaen" w:hAnsi="Sylfaen"/>
          <w:bCs w:val="0"/>
          <w:spacing w:val="0"/>
          <w:sz w:val="16"/>
          <w:szCs w:val="16"/>
        </w:rPr>
        <w:t>72-80</w:t>
      </w:r>
      <w:r w:rsidRPr="00AF4210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%: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Բուսակացքը տեսակային կազմերով հարուստ է, առավելապես գերակշռում են չափավոր խոնավասեր տեսակները</w:t>
      </w:r>
      <w:r w:rsidRPr="00AF4210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: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արոտատեղամասեր առանձին հատվածներում առկա է վարընթաց զարգացում,  բավականին բարձր են արոտի դեգրադացիայի </w:t>
      </w:r>
      <w:r w:rsidRPr="00AF4210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ԱԴՑ)  և էրոզիայի հակվածության </w:t>
      </w:r>
      <w:r w:rsidRPr="00AF4210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ԷՀՑ)  ցուցանիշները, պայմանավորված և ռելիեֆի գործոնով և անկանոն օգտագործումներով: Միջին ռիսկային արոտավայր է համաձայն արոտի իրավիճակի ցուցանիշի </w:t>
      </w:r>
      <w:r w:rsidRPr="00AF4210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</w:t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յին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լանդշաֆտային գոտում տարածված են արոտավայրերի շատ փոքր հատված` 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13.63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%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 (188.17 հա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) , առանձնացվել են Պաժառնի-2, կարմրահողեր-2 և Լալի խոզանոց-1 արոտավայրերի բարձրադիր հատվածները: Էկոլոգիական գնահատման տեսակետից այս տեղամասին բնորոշ է  միջինից բարձր քարքարոտվածությունը` մինչև 14-20 %: Քարքարոտվածության  հետ մեկտեղ առկա են փշաբարձային կիսաթփուտների մեծ տարածվածություն: Միջին և բարձր թեքությամբ նոսրացած բուսածածկով լանջերին  հատվածներով առկա է քարային ցրոների տարածվածություն և մակերևույթային էրոզիայի հստակ նշաններ, պայմանավորված մասնակի և ընդարձակվող բուսազրկվածությամբ: Միջին բուսապատվածության աստիճանը արոտում կազմում է մինչև 73-76 %: Միջին ռիսկային արոտավայրեր են համաձայն արոտի իրավիճակի ցուցանիշի </w:t>
      </w:r>
      <w:r w:rsidRPr="00AF4210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 Բուսածածկում առավելապես գերակշռում են մերձալպյան բարձրախոտային համակեցությունները: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լեռնամարգագետնային գոտում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գտնվում արոտավայրերի 50.72 </w:t>
      </w:r>
      <w:r w:rsidRPr="00AF4210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AF4210">
        <w:rPr>
          <w:rFonts w:ascii="Sylfaen" w:hAnsi="Sylfaen"/>
          <w:bCs w:val="0"/>
          <w:spacing w:val="0"/>
          <w:sz w:val="16"/>
          <w:szCs w:val="16"/>
        </w:rPr>
        <w:t>(700.47),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AF4210">
        <w:rPr>
          <w:rFonts w:ascii="Sylfaen" w:hAnsi="Sylfaen"/>
          <w:bCs w:val="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առանձնացվել են   Գարիներ, Զովունի-1: 2: 3: 4 և Զույգ արխաջներ  արոտավայրերը: Գոտու արոտների մակերևույթը բնութագրվում է հիմնականում միջին և բարձր ռելիֆայնությամբ, տեղ-տեղ գերբարձր թեքության լանջերով և զառիթափեր ունեցող լեռնազանգվածներով (որոշ հատվածներում լանջերի թեքությունը կազմում է 35-45), խորը ընկած ձորերով և միջլեռնային հարթություններով: Գոտու տեղամասերի բնորոշ առանձնահատկություններից մեկը  լեռնային չինգիլների զգալի տարածվածությունն է, ինչով պայմանավորված զգալի կրճատվում է որոշ արոտատեղամասերի օգտակար մակերեսները: Այստեղ նույնպես քարքարոտվածությունը տատանվում է մեծ միջակայքում՝ 8-22% սահմաններում: Բարձր է քարքարոտվածությունն հատկապես Զովունի-4 և Զույգ արխաջներ արոտատեղամասում, կազմելով 21-22%: Այս գոտու հիմնական արոտատեղամասերում  համեմատաբար բարձր է բուսապատվածությունը, ինչով պայմանավորված էկոլոգիական վիճակը համեմատաբար կայուն է: Ընդհանուր բուսապատվածությունը կազմում է 45-83 %: Արոտներում առկա է համեմատաբար կայուն վիճակ, էռոզիայի հակվածությոնն (ԷՀՑ)  և արոտի դեգրադացվածությունն (ԱԴՑ) միջին և ցածր ռիսկային տիրույթում է: </w:t>
      </w: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բնակավայրի արոտներից առավել դեգրադացված են լեռնատափաստանային գոտու բնակավայրամերձ հատվածի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19" w:name="_Toc402354611"/>
      <w:bookmarkStart w:id="20" w:name="_Toc524700602"/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21" w:name="_Toc17732896"/>
      <w:r w:rsidRPr="00AF4210">
        <w:rPr>
          <w:rFonts w:ascii="Sylfaen" w:hAnsi="Sylfaen"/>
          <w:sz w:val="16"/>
          <w:szCs w:val="16"/>
        </w:rPr>
        <w:t xml:space="preserve">5. </w:t>
      </w:r>
      <w:r w:rsidRPr="00AF4210">
        <w:rPr>
          <w:rFonts w:ascii="Sylfaen" w:hAnsi="Sylfaen" w:cs="Sylfaen"/>
          <w:sz w:val="16"/>
          <w:szCs w:val="16"/>
        </w:rPr>
        <w:t>Ընթացիկ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կառավարում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ըստ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գոտ</w:t>
      </w:r>
      <w:bookmarkEnd w:id="19"/>
      <w:r w:rsidRPr="00AF4210">
        <w:rPr>
          <w:rFonts w:ascii="Sylfaen" w:hAnsi="Sylfaen" w:cs="Sylfaen"/>
          <w:sz w:val="16"/>
          <w:szCs w:val="16"/>
        </w:rPr>
        <w:t>ու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արոտատեղամասերի</w:t>
      </w:r>
      <w:bookmarkEnd w:id="20"/>
      <w:bookmarkEnd w:id="21"/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Հորբատեղ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գոտիներ: Ներկայացնենք լանդշաֆտային գոտիների տարբեր հատվածներում առանձնացված արոտների արածեցման կարգի որոշ առանձնահատկություններ: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(ապրիլի երրորդ տասնօրյակի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վերջից  մինչև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նոյեմբերի առաջին տասնօրյակը), իսկ մանր եղջերավորի (ոչխարի) արոտային շրջանը կազմում է 250 օր (ապրիլի առաջին տասնօրյակից մինչև դեկտեմբերի առաջին տասնօրյակը,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Լեռնաանտառային</w:t>
      </w:r>
      <w:r w:rsidRPr="00AF4210">
        <w:rPr>
          <w:rFonts w:ascii="Sylfaen" w:hAnsi="Sylfaen"/>
          <w:b/>
          <w:bCs w:val="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ապրիլի երկրորդ տասնօրյակից: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Սովորաբար  այս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արոտատեղամասերում կազմակերպվում է հիմնական արոտային շրջանը: Աշնանային ժամանակահատվածում, մինջև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spacing w:val="0"/>
          <w:sz w:val="16"/>
          <w:szCs w:val="16"/>
        </w:rPr>
        <w:t xml:space="preserve">Մերձալպյան լեռնամարգագետնային </w:t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առավել ցածրադիր հատվածները օգտագործվում են լեռնանտառային գոտու արոտների օգտագործման հետ ամառային և վաղ աշնանային ժամանակահատվածներում: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բարձր լեռնային գոտում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տարածվում են արոտավայրերի ընդարձակ տարածքներ, որոնք կազմում են բնակավայրի արոտային ֆոնդի 54.38%-ը     (400.68 հա): Այս գոտու արոտների որոշ հատվածները` հատկապես ցածրադիր մասերը օգտագործվում են հեռագնա ճամբարային պահվածքով (Հունիսի առաջին տասնօրյակից մինչև սեպտեմբերի երկրորդ տասնօրյակը), մասնավորապես բտման կենդանիների և մանր եղջերավորի համար: Այս գոտու հեռագնա արոտներում ձևավորված են հեռագնա պահվածքի կազմակերպմանն անհրաժեշտ ենթակառուցվածքներ: Պայմանավորված անասնագլխի սակավությամբ և արոտների ընդարձակ տարածքներով, ներկայում այս գոտու առավել բարձրադիր և հեռավոր հատվածները հիմնականում չեն օգտագործվում, առավելապես օգտագործվում են համեմատաբար ցածրադիր և ջրելատեղերին առավել մոտ արոտավայրերը:Այս գոտու հեռագնա արոտներն օգտագործվում են կարճ ժամանակահատվածով` երկու ամիս, հուլիսից մինչև սեպտեմբերի առաջին տասնօրյակը:    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Աշնանային ժամանակահատվածում, մինչև մսուրային շրջանին անցնելը, պայմանավորված բարձրադիր արոտավայրերում կլիմայական հնարավոր անբարենպաստ պայմաններով, արոտակերի ապահովման համար որոշակի ժամանակահատված օգտագործվում են նաև այլընտրանքային կերապահովման տարածքների` բերքահավաք կատարած վարելահողերի, բնական խոտհարքների ինչպես նաև այլ հողատեսքերի մնացորդային խոզանն, վերաճած ահլուկն ու բուսածածկը:</w:t>
      </w:r>
    </w:p>
    <w:p w:rsidR="00BE670B" w:rsidRPr="00AF4210" w:rsidRDefault="00BE670B" w:rsidP="00BE670B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Որպես արոտակերի ապահովման այլընտրանքային միջոց, արոտի նպատակով մասամբ օգտագործվում են նաև 383.88 հա այլ հողատեսքերի որոշ հատվածների բուսածածկը</w:t>
      </w:r>
    </w:p>
    <w:p w:rsidR="00BE670B" w:rsidRPr="00AF4210" w:rsidRDefault="00BE670B" w:rsidP="00BE670B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22" w:name="_Toc17732897"/>
      <w:bookmarkStart w:id="23" w:name="_Toc524700603"/>
      <w:bookmarkStart w:id="24" w:name="_Toc402354612"/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5.1. </w:t>
      </w:r>
      <w:r w:rsidRPr="00AF4210">
        <w:rPr>
          <w:rFonts w:ascii="Sylfaen" w:hAnsi="Sylfaen" w:cs="Sylfaen"/>
          <w:i w:val="0"/>
          <w:color w:val="auto"/>
          <w:sz w:val="16"/>
          <w:szCs w:val="16"/>
          <w:lang w:val="en-US"/>
        </w:rPr>
        <w:t>Բնակավայրի</w:t>
      </w:r>
      <w:r w:rsidRPr="00AF4210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արոտների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խոտհարքների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բուսածածկ</w:t>
      </w:r>
      <w:r w:rsidRPr="00AF4210">
        <w:rPr>
          <w:rFonts w:ascii="Sylfaen" w:hAnsi="Sylfaen" w:cs="Sylfaen"/>
          <w:i w:val="0"/>
          <w:color w:val="auto"/>
          <w:sz w:val="16"/>
          <w:szCs w:val="16"/>
          <w:lang w:val="en-US"/>
        </w:rPr>
        <w:t>ն</w:t>
      </w:r>
      <w:r w:rsidRPr="00AF4210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  <w:lang w:val="en-US"/>
        </w:rPr>
        <w:t>ու</w:t>
      </w:r>
      <w:r w:rsidRPr="00AF4210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բերքատվության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ցուցանիշները</w:t>
      </w:r>
      <w:bookmarkEnd w:id="22"/>
      <w:bookmarkEnd w:id="23"/>
      <w:bookmarkEnd w:id="24"/>
    </w:p>
    <w:p w:rsidR="00BE670B" w:rsidRPr="00AF4210" w:rsidRDefault="00BE670B" w:rsidP="00BE670B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և բնական խոտհարքներում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«Կենսաբազմազանության կայուն կառավարում, Հարավային Կովկաս» ծրագրի շրջանակներում մշակված “Ամառային արոտների մշտադիտարկման ձեռնարկ Հայաստան”-ի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ազդեցությունը արոտավայրերի բուսածածկի վրա գնահատելու նպատակով համեմատվել են լանդշաֆտային գոտու մաքուր բուսածածկերի միջին տոկոսը (հանվել են քարքարոտ տարածքները, ժայռերը, ձորակները, թփերի զբաղեցրած տարածքը, ճանապարհները և այլն), տարածքների պոտենցիալ արդյունավետությունը և արածեցման թողած ազդեցության չափը:       </w:t>
      </w:r>
    </w:p>
    <w:p w:rsidR="00BE670B" w:rsidRPr="00AF4210" w:rsidRDefault="00BE670B" w:rsidP="00BE670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5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գոտու պայմաններում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1560"/>
        <w:gridCol w:w="1417"/>
        <w:gridCol w:w="1559"/>
        <w:gridCol w:w="2126"/>
      </w:tblGrid>
      <w:tr w:rsidR="00BE670B" w:rsidRPr="00AF4210" w:rsidTr="00BE670B">
        <w:trPr>
          <w:cantSplit/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թյուն, 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BE670B" w:rsidRPr="00AF4210" w:rsidTr="00BE670B">
        <w:trPr>
          <w:cantSplit/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Լեռնաանտառային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1600-2300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1660</w:t>
            </w:r>
          </w:p>
        </w:tc>
      </w:tr>
      <w:tr w:rsidR="00BE670B" w:rsidRPr="00AF4210" w:rsidTr="00BE670B">
        <w:trPr>
          <w:cantSplit/>
          <w:trHeight w:val="33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BE670B" w:rsidRPr="00AF4210" w:rsidTr="00BE670B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1740</w:t>
            </w:r>
          </w:p>
        </w:tc>
      </w:tr>
      <w:tr w:rsidR="00BE670B" w:rsidRPr="00AF4210" w:rsidTr="00BE670B">
        <w:trPr>
          <w:cantSplit/>
          <w:trHeight w:val="218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550</w:t>
            </w:r>
          </w:p>
        </w:tc>
      </w:tr>
      <w:tr w:rsidR="00BE670B" w:rsidRPr="00AF4210" w:rsidTr="00BE670B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2700-3100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1700</w:t>
            </w:r>
          </w:p>
        </w:tc>
      </w:tr>
      <w:tr w:rsidR="00BE670B" w:rsidRPr="00AF4210" w:rsidTr="00BE670B">
        <w:trPr>
          <w:cantSplit/>
          <w:trHeight w:val="21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580</w:t>
            </w:r>
          </w:p>
        </w:tc>
      </w:tr>
    </w:tbl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Արոտների և խոտհարքների արտադրողականության և արդյունավետության որոշման համար, ըստ միատարության չափանիշների ընտրված արոտային և խոտհարքային տեղամասերից վերցվել են բուսական նմուշներ, օգտագործելով 10000 սմ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2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-ոց “մետրովկաներ”, որոշվել է դրանց թաց և չոր կշիռը: Առանձնացվել են հիմնական մարգագետնային բուսախմբերը (հացազգի, բակլազգի, տարախոտ և վնասակար ու թունավոր), որոշվել հիմնական տեսակները, ինչպես նաև բուսաբանատնտեսական խմբավորումների պարունակության տոկոսը: Ըստ բուսական նմուշի չոր կշռի, առկա բուսախմբակցությունների և տեսակային կազմերի վերաճի հնարավորու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(1հա) հնարավոր բերքատվության ցուցանիշները յուրաքանչյուր բնական գոտու պայմաններում:         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Լեռնաանտառային գոտու արոտավայրերի բուսածածկում` 54.7 % կազմել են դաշտավլուկազգիները, 35.1 % տարախոտեր, 10.2 % բակլազգիներ,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դաշտավլուկազգի-տարախոտային տափաստանային բուսակացք: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Մերձալպյան գոտու արոտավայրերի բուսածածկում` 59.5% կազմել են դաշտավլուկազգիները, 27.9 % տարախոտեր, 12.6 % բակլազգիներ,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դաշտավլուկազգի-տարախոտաբակլազգի մերձալպյան բարձրախոտային բուսակացք: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Ալպյան գոտու արոտավայրերի բուսածածկում` 66.2% կազմել են դաշտավլուկազգիները, 27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,0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% տարախոտեր, 6.8 % բակլազգիներ, ձևավորված է դաշտավլուկազգի- տարախոտաբակլազգի լեռնամարգագետնային բուսակացք: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(աղյուսակ 5), հողի խոտաբույսերով բուսապատվածության աստիճանը չարածեցված տարածքներում տատանվել է 78-83 %-ի սահմաններում, իսկ արածեցված տարածքներում 51-58%, ընդ որում ամենացածր ցուցանիշ գրանցվել է մասամբ դեգրադացված, բնակավայրամերձ հատվածի ցածրադիր արոտատեղամասերում: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Հարկ է նշել, որ բնակավայրամերձ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ՈՒսումնասիրություններով պարզվել է, որ արածեցված արոտներում մնացորդային չոր բուսազանգվածի կշիռը կազմում է ձևավորվող բերքի շուրջ 1/3-մասը: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կազմը, հաշվարկվել է ընդհանուր բերքատվությունը:</w:t>
      </w:r>
    </w:p>
    <w:p w:rsidR="00BE670B" w:rsidRPr="00AF4210" w:rsidRDefault="00BE670B" w:rsidP="00BE670B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Աղյուսակ-6</w:t>
      </w:r>
    </w:p>
    <w:p w:rsidR="00BE670B" w:rsidRPr="00AF4210" w:rsidRDefault="00BE670B" w:rsidP="00BE670B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Խոտհարքների բուսածածկի բուսաբանատնտեսական խմբավորումներն ու արտադրողականությունը</w:t>
      </w: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74"/>
        <w:gridCol w:w="1417"/>
        <w:gridCol w:w="1558"/>
        <w:gridCol w:w="1421"/>
      </w:tblGrid>
      <w:tr w:rsidR="00BE670B" w:rsidRPr="00AF4210" w:rsidTr="00BE670B">
        <w:trPr>
          <w:cantSplit/>
          <w:trHeight w:val="2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Բուսա-ծածկ, 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Համախառն բերքը, կգ </w:t>
            </w:r>
          </w:p>
        </w:tc>
      </w:tr>
      <w:tr w:rsidR="00BE670B" w:rsidRPr="00AF4210" w:rsidTr="00BE670B">
        <w:trPr>
          <w:cantSplit/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BE670B" w:rsidRPr="00AF4210" w:rsidTr="00BE670B">
        <w:trPr>
          <w:cantSplit/>
          <w:trHeight w:val="417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 =1քմ ՉԶ x 1հա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 = Ա x Զ</w:t>
            </w:r>
          </w:p>
        </w:tc>
      </w:tr>
      <w:tr w:rsidR="00BE670B" w:rsidRPr="00AF4210" w:rsidTr="00BE670B">
        <w:trPr>
          <w:cantSplit/>
          <w:trHeight w:val="64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48.24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64.3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20.2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120600</w:t>
            </w:r>
          </w:p>
        </w:tc>
      </w:tr>
    </w:tbl>
    <w:p w:rsidR="00BE670B" w:rsidRPr="00AF4210" w:rsidRDefault="00BE670B" w:rsidP="00BE670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1հա-ի միջին բերքը հաշվարկվել է հիմնվելով 1քմ հաշվարկային տարածքներից ստացված միջին նմուշի չոր զանգվածի (ՉԶ) կշռին: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6-ում ներկայացված է բնական խոտհարքների միջին բուսապատվածությունը, ձևավորվող բուսածածկերի բուսաբանական միջին կազմը, ինչպես նաև միջին բերքատվությունն ու համախառն բերքը: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տարախոտային տեսակների պարունակությունը (23.2%), որոնց մեջ զգալի է կոպիտ և վատորակ տեսակների քանակությունը, ինչով պայմանավորված խոտի որակը բարձր չէ: Բուսազանգվածում համեմատաբար ցածր է բակլազգիների միջին պարունակությունը (12.5%): 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 միջավայրում տարածումը: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Festuca ovina, Festuca pratense,   Dactylis glomerata, Phleum pratense, Poa pratense, Lotus corniculatus, Lotus pratense, Thimus, Achillea millefolium </w:t>
      </w:r>
      <w:hyperlink r:id="rId26" w:history="1">
        <w:r w:rsidRPr="00AF4210">
          <w:rPr>
            <w:rStyle w:val="a3"/>
            <w:rFonts w:ascii="Sylfaen" w:hAnsi="Sylfaen"/>
            <w:bCs w:val="0"/>
            <w:color w:val="auto"/>
            <w:spacing w:val="0"/>
            <w:sz w:val="16"/>
            <w:szCs w:val="16"/>
          </w:rPr>
          <w:t>L.</w:t>
        </w:r>
      </w:hyperlink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Taraxacum officinale, Astragalus galegiformis, Trifolium medium, Tr. pratense, Tr. repens, O. transcaucasica, Vicia angustifolia, Pyrethhrum myriophyllum, Carduus acanthoides և այլն: Բարձրարժեք բակլազգի տեսակները համեմատաբար սակավ են,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մասնավորապես ցածրադիր գոտու դեգրադացված արոտներում: Վերջիններիս առավել տարածվածություն գրանցվել է լեռնանտառայի գոտու անտառամերձ հատվածներում և մերձալպյան  գոտու առավել ցածրադիր արոտներում: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BE670B" w:rsidRPr="00AF4210" w:rsidRDefault="00BE670B" w:rsidP="00BE670B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25" w:name="_Toc17732898"/>
      <w:bookmarkStart w:id="26" w:name="_Toc524700604"/>
      <w:bookmarkStart w:id="27" w:name="_Toc402354613"/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5.2.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Արոտավայրերի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կառավարման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անասնապահության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զարգացման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նախադրյալները</w:t>
      </w:r>
      <w:bookmarkEnd w:id="25"/>
      <w:bookmarkEnd w:id="26"/>
      <w:bookmarkEnd w:id="27"/>
    </w:p>
    <w:p w:rsidR="00BE670B" w:rsidRPr="00AF4210" w:rsidRDefault="00BE670B" w:rsidP="00BE670B">
      <w:pPr>
        <w:rPr>
          <w:sz w:val="16"/>
          <w:szCs w:val="16"/>
          <w:lang w:eastAsia="x-none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8" w:name="_Toc275304875"/>
      <w:bookmarkStart w:id="29" w:name="_Toc275297860"/>
      <w:bookmarkStart w:id="30" w:name="_Toc275295647"/>
      <w:bookmarkStart w:id="31" w:name="_Toc275133835"/>
      <w:bookmarkStart w:id="32" w:name="_Toc275133472"/>
      <w:bookmarkStart w:id="33" w:name="_Toc275133426"/>
      <w:bookmarkStart w:id="34" w:name="_Toc275133066"/>
      <w:bookmarkStart w:id="35" w:name="_Toc275132918"/>
      <w:bookmarkStart w:id="36" w:name="_Toc275132640"/>
      <w:bookmarkStart w:id="37" w:name="_Toc275132410"/>
      <w:bookmarkStart w:id="38" w:name="_Toc275132145"/>
      <w:bookmarkStart w:id="39" w:name="_Toc275131586"/>
      <w:bookmarkStart w:id="40" w:name="_Toc76376824"/>
      <w:bookmarkStart w:id="41" w:name="_Toc76375841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Բնակավայրամերձ արոտավայրերում, որտեղ աշնանը գրեթե մինչև կայուն ցուրտ եղանակի ձևավորվելը պահվում են արածող կենդանիները, օգտագործվում է կրկնակի անգամ, և որպես կանոն ուշադրություն չի դարձվում բուսածածկի մնացորդային խոզանի պահպանմանը, այսինքն նման տարածքներն գերարածեցվում են նպաստելով բուսածածկի դեգրադացիայի ձևավորման և նրա հետագա խորացմանը: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բնակավայրին հարակից ուսումնասիրված տարբեր արոտներում և հատկապես լեռնաանտառային գոտում: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հետևաբար կարևոր նշանակություն ունեն նաև արոտների ֆունկցիոնալ կայունության պահպանման առումով: </w:t>
      </w:r>
    </w:p>
    <w:p w:rsidR="00BE670B" w:rsidRPr="00AF4210" w:rsidRDefault="00BE670B" w:rsidP="00BE670B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2" w:name="_Toc76376825"/>
      <w:bookmarkStart w:id="43" w:name="_Toc76375842"/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Աշուն/ձմեռ: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Հանգստի այս փուլում գտնվող միամյա և բազմամյա խոտաբույսերը կարող են բարձր բերք ապահովել, եթե արածեցման ընթացքում բույսերը արմատախիլ 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42"/>
      <w:bookmarkEnd w:id="43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BE670B" w:rsidRPr="00AF4210" w:rsidRDefault="00BE670B" w:rsidP="00BE670B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4" w:name="_Toc76376826"/>
      <w:bookmarkStart w:id="45" w:name="_Toc76375843"/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Վաղ գարուն: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30%-ից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44"/>
      <w:bookmarkEnd w:id="45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BE670B" w:rsidRPr="00AF4210" w:rsidRDefault="00BE670B" w:rsidP="00BE670B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Ուշ գարուն/ամառ: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անցնել պասիվ փուլի: Արոտների թույլատրելի օգտագործման չափանիշը չպետք է իջնի 70%-ի մակարդակից, որպեսզի ապահովված լինի խոտաբույսերի հետագա ահլուկավորման և վերաճելու հնարավորությունները: Այս ժամանակա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հատվածում ձևավորվում է բերքի հիմնական մասը: </w:t>
      </w:r>
    </w:p>
    <w:p w:rsidR="00BE670B" w:rsidRPr="00AF4210" w:rsidRDefault="00BE670B" w:rsidP="00BE670B">
      <w:pPr>
        <w:spacing w:line="360" w:lineRule="auto"/>
        <w:ind w:left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pStyle w:val="1"/>
        <w:spacing w:before="0" w:after="0" w:line="276" w:lineRule="auto"/>
        <w:jc w:val="center"/>
        <w:rPr>
          <w:rFonts w:ascii="Sylfaen" w:hAnsi="Sylfaen" w:cs="Sylfaen"/>
          <w:sz w:val="16"/>
          <w:szCs w:val="16"/>
        </w:rPr>
      </w:pPr>
      <w:bookmarkStart w:id="46" w:name="_Toc17732899"/>
      <w:bookmarkStart w:id="47" w:name="_Toc524700605"/>
      <w:bookmarkStart w:id="48" w:name="_Toc402354614"/>
      <w:r w:rsidRPr="00AF4210">
        <w:rPr>
          <w:rFonts w:ascii="Sylfaen" w:hAnsi="Sylfaen"/>
          <w:sz w:val="16"/>
          <w:szCs w:val="16"/>
        </w:rPr>
        <w:t xml:space="preserve">6. </w:t>
      </w:r>
      <w:r w:rsidRPr="00AF4210">
        <w:rPr>
          <w:rFonts w:ascii="Sylfaen" w:hAnsi="Sylfaen" w:cs="Sylfaen"/>
          <w:sz w:val="16"/>
          <w:szCs w:val="16"/>
        </w:rPr>
        <w:t>Չոր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կենսազանգվածի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կուտակման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հնարավորությունն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ըստ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բնակլիմայական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գոտիների</w:t>
      </w:r>
      <w:bookmarkEnd w:id="46"/>
      <w:bookmarkEnd w:id="47"/>
      <w:bookmarkEnd w:id="48"/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Խոզանի բարձրության հաշվարկ: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բնակավայրի վարչական տարածքում հաշվառված կերահանդակների պոտենցիալ հնարավո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առնելով մի շարք գործոններ, այդ թվում նաև խոզանի բարձրությունը (աղ.7):    </w:t>
      </w:r>
    </w:p>
    <w:p w:rsidR="00BE670B" w:rsidRPr="00AF4210" w:rsidRDefault="00BE670B" w:rsidP="00BE670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Աղյուսակ 7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Հորբատեղ բնակավայրի արոտավայրերի խոզանի բարձրությունն ըստ գոտիների</w:t>
      </w:r>
    </w:p>
    <w:tbl>
      <w:tblPr>
        <w:tblW w:w="0" w:type="auto"/>
        <w:jc w:val="center"/>
        <w:tblInd w:w="-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222"/>
      </w:tblGrid>
      <w:tr w:rsidR="00BE670B" w:rsidRPr="00AF4210" w:rsidTr="00BE670B">
        <w:trPr>
          <w:cantSplit/>
          <w:trHeight w:val="56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Խոզանի   բարձրությունը,  սմ</w:t>
            </w:r>
          </w:p>
        </w:tc>
      </w:tr>
      <w:tr w:rsidR="00BE670B" w:rsidRPr="00AF4210" w:rsidTr="00BE670B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Լեռնաանտառային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BE670B" w:rsidRPr="00AF4210" w:rsidTr="00BE670B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BE670B" w:rsidRPr="00AF4210" w:rsidTr="00BE670B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8-10</w:t>
            </w:r>
          </w:p>
        </w:tc>
      </w:tr>
    </w:tbl>
    <w:p w:rsidR="00BE670B" w:rsidRPr="00AF4210" w:rsidRDefault="00BE670B" w:rsidP="00BE670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«Արոտների և խոտհարքների օգտագործման կարգի» վերաբերյալ ՀՀ Կառավարության 2011թ № 389-ն որոշման համաձայն, կենդանիների արածեցումը պետք է սկսել գարնանը, բույսերի վերաճը սկսելուց 15-18 օր հետո և երբ բույսերի բարձրությունը հողի մակերեսից կազմում է` </w:t>
      </w:r>
    </w:p>
    <w:p w:rsidR="00BE670B" w:rsidRPr="00AF4210" w:rsidRDefault="00BE670B" w:rsidP="00BE670B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Լեռնաանտառային գոտում  10 -12սմ,</w:t>
      </w:r>
    </w:p>
    <w:p w:rsidR="00BE670B" w:rsidRPr="00AF4210" w:rsidRDefault="00BE670B" w:rsidP="00BE670B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գոտում         10-12սմ,</w:t>
      </w:r>
    </w:p>
    <w:p w:rsidR="00BE670B" w:rsidRPr="00AF4210" w:rsidRDefault="00BE670B" w:rsidP="00BE670B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Ալպյան  գոտում                 8-10սմ: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Ելնելով այս հանգամանքից, ինչպես նաև Հորբատեղ բնակավայրի վարչական տարածքի լանդշաֆտային գոտիականության առանձնահատկություններից, առաջարկվում է գարնանային արածեցումը սկսել Լեռնաանտառային  և մերձալպյան գոտիներում 10 սմ իսկ ալպյան  գոտում 8-10 սմ խոտածածկի բարձրության առկայության պայմաններում: Հաշվի առնելով հողակլիմայական և լանդշաֆտային առանձնահատկությունները առաջարկում ենք օգտագործել աղյուսակ 7-ում բերված տվյալները: </w:t>
      </w:r>
      <w:bookmarkStart w:id="49" w:name="_Toc402354615"/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pStyle w:val="2"/>
        <w:spacing w:before="0" w:after="0"/>
        <w:jc w:val="center"/>
        <w:rPr>
          <w:rFonts w:ascii="Sylfaen" w:hAnsi="Sylfaen" w:cs="Cambria"/>
          <w:i w:val="0"/>
          <w:color w:val="auto"/>
          <w:sz w:val="16"/>
          <w:szCs w:val="16"/>
          <w:lang w:val="en-US"/>
        </w:rPr>
      </w:pPr>
      <w:bookmarkStart w:id="50" w:name="_Toc17732900"/>
      <w:bookmarkStart w:id="51" w:name="_Toc524700606"/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6.1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Բնակավայրի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կերահանդակներից</w:t>
      </w:r>
      <w:r w:rsidRPr="00AF4210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այլընտրանքային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կերապահովմանտարածքներից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ստացվող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չոր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զանգվածի</w:t>
      </w:r>
      <w:bookmarkStart w:id="52" w:name="_Toc402354616"/>
      <w:bookmarkEnd w:id="49"/>
      <w:bookmarkEnd w:id="50"/>
    </w:p>
    <w:p w:rsidR="00BE670B" w:rsidRPr="00AF4210" w:rsidRDefault="00BE670B" w:rsidP="00BE670B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53" w:name="_Toc17732901"/>
      <w:r w:rsidRPr="00AF4210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արածեցման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օրերի</w:t>
      </w:r>
      <w:r w:rsidRPr="00AF4210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AF4210">
        <w:rPr>
          <w:rFonts w:ascii="Sylfaen" w:hAnsi="Sylfaen" w:cs="Sylfaen"/>
          <w:i w:val="0"/>
          <w:color w:val="auto"/>
          <w:sz w:val="16"/>
          <w:szCs w:val="16"/>
        </w:rPr>
        <w:t>քանակը</w:t>
      </w:r>
      <w:bookmarkEnd w:id="51"/>
      <w:bookmarkEnd w:id="52"/>
      <w:bookmarkEnd w:id="53"/>
    </w:p>
    <w:p w:rsidR="00BE670B" w:rsidRPr="00AF4210" w:rsidRDefault="00BE670B" w:rsidP="00BE670B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8</w:t>
      </w:r>
    </w:p>
    <w:p w:rsidR="00BE670B" w:rsidRPr="00AF4210" w:rsidRDefault="00BE670B" w:rsidP="00BE670B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4" w:name="RANGE!A29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արտադրողականությունը և առավելագույն արածեցման օրերը</w:t>
      </w:r>
      <w:bookmarkEnd w:id="54"/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1134"/>
        <w:gridCol w:w="850"/>
        <w:gridCol w:w="1418"/>
        <w:gridCol w:w="1841"/>
        <w:gridCol w:w="1560"/>
      </w:tblGrid>
      <w:tr w:rsidR="00BE670B" w:rsidRPr="00AF4210" w:rsidTr="00BE670B">
        <w:trPr>
          <w:trHeight w:val="7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70% օգտագործում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օրեր**</w:t>
            </w:r>
          </w:p>
        </w:tc>
      </w:tr>
      <w:tr w:rsidR="00BE670B" w:rsidRPr="00AF4210" w:rsidTr="00BE670B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Ե=Դ x 70%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Զ=Ե/3569.7 կգ/օր</w:t>
            </w:r>
          </w:p>
        </w:tc>
      </w:tr>
      <w:tr w:rsidR="00BE670B" w:rsidRPr="00AF4210" w:rsidTr="00BE670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Լեռնաանտառային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492.23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817101.8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571971.2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</w:t>
            </w:r>
          </w:p>
        </w:tc>
      </w:tr>
      <w:tr w:rsidR="00BE670B" w:rsidRPr="00AF4210" w:rsidTr="00BE670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188.17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327415.8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229191.0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64</w:t>
            </w:r>
          </w:p>
        </w:tc>
      </w:tr>
      <w:tr w:rsidR="00BE670B" w:rsidRPr="00AF4210" w:rsidTr="00BE670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700.47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1190799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833559.3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233</w:t>
            </w:r>
          </w:p>
        </w:tc>
      </w:tr>
      <w:tr w:rsidR="00BE670B" w:rsidRPr="00AF4210" w:rsidTr="00BE670B">
        <w:trPr>
          <w:trHeight w:val="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1380.87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2335316.6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1634721.5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457</w:t>
            </w:r>
          </w:p>
        </w:tc>
      </w:tr>
    </w:tbl>
    <w:p w:rsidR="00BE670B" w:rsidRPr="00AF4210" w:rsidRDefault="00BE670B" w:rsidP="00BE670B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գոտիներում արոտների բերքատվությունն ու արոտօգտագործման օրերի քանակը հաշվարկվում է հետևյալ բանաձևով`  </w:t>
      </w:r>
    </w:p>
    <w:p w:rsidR="00BE670B" w:rsidRPr="00AF4210" w:rsidRDefault="00BE670B" w:rsidP="00BE670B">
      <w:pPr>
        <w:spacing w:line="360" w:lineRule="auto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70% /անասնագլխի օրեկան կերի պահանջ (3569.7):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8-ում ամփոփված են արոտավայրերի բերքատվությունն ու կենդանիների համար խոտի ներկայիս հասանելիությունն` ըստ հաստատագրված 70% օգտագործման ցուցանիշի: Ինչպես երևում է ամենաբարձր արտադրողականություն 1 հա-ի հաշվով ձևավորվել է մերձալպյան գոտու արոտավայրերից: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(70 %), ձևավորվող չոր զանգվածի քանակությունը առկա անասնագլխի համար կարող է ապահովել շուրջ 457 օրերի համար արոտային կեր, ինչը  լիովին բավարարում է բնակավայրի պայմաններում ՊԽՄ-ի արոտային շրջանի համար հաշվարկած արածեցման օրերի պահանջը: Լրացուցիչ կերային զգալի պաշար պարունակում են նաև վարելահողերի և բնական խոտհարքների ազատված տարածքները (խոտհունձից հետո) վերաճած ահլուկի տեսքով, ինչպես նաև այլ հողատեսքերի բուսածածկը (աղյուսակ 9), որոնց հիման վրա որպես այլ  ընտրանք հնարավոր է մինչև 110 օր կերակրել համայնքի ամբողջ անասնագլխին: Այլընտրանքային կերապահովման տարածքներն հիմնականում օգտագործվում են վաղ գարնանային և ուշ ամառային շրջանում, ինչպես նաև աշնանը մսուրային շրջանից առաջ:                                                                                            </w:t>
      </w:r>
    </w:p>
    <w:p w:rsidR="00BE670B" w:rsidRPr="00AF4210" w:rsidRDefault="00BE670B" w:rsidP="00BE670B">
      <w:pPr>
        <w:spacing w:line="360" w:lineRule="auto"/>
        <w:ind w:firstLine="720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9</w:t>
      </w:r>
    </w:p>
    <w:p w:rsidR="00BE670B" w:rsidRPr="00AF4210" w:rsidRDefault="00BE670B" w:rsidP="00BE670B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5" w:name="RANGE!A36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 և առավելագույն արածեցման օրեր</w:t>
      </w:r>
      <w:bookmarkEnd w:id="55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17"/>
        <w:gridCol w:w="1843"/>
        <w:gridCol w:w="2594"/>
      </w:tblGrid>
      <w:tr w:rsidR="00BE670B" w:rsidRPr="00AF4210" w:rsidTr="00BE670B">
        <w:trPr>
          <w:cantSplit/>
          <w:trHeight w:val="21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Տարածք,</w:t>
            </w:r>
          </w:p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 ՉԶ, կգ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BE670B" w:rsidRPr="00AF4210" w:rsidTr="00BE670B">
        <w:trPr>
          <w:cantSplit/>
          <w:trHeight w:val="9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             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 = Բ x Գ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= Դ / 3569.7 կգ/օր</w:t>
            </w:r>
          </w:p>
        </w:tc>
      </w:tr>
      <w:tr w:rsidR="00BE670B" w:rsidRPr="00AF4210" w:rsidTr="00BE670B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Վարելահող+ խոտ-       </w:t>
            </w:r>
          </w:p>
          <w:p w:rsidR="00BE670B" w:rsidRPr="00AF4210" w:rsidRDefault="00BE670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հարքների  խոզան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98.34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40319.4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</w:t>
            </w:r>
          </w:p>
        </w:tc>
      </w:tr>
      <w:tr w:rsidR="00BE670B" w:rsidRPr="00AF4210" w:rsidTr="00BE670B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Այլ հողատեսքերի       բուսածածկ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383.88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353169.6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99</w:t>
            </w:r>
          </w:p>
        </w:tc>
      </w:tr>
      <w:tr w:rsidR="00BE670B" w:rsidRPr="00AF4210" w:rsidTr="00BE670B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482.22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393489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</w:tr>
    </w:tbl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Բնակավայրի վարչական տարածքում առկա արոտավայրերից և այլ ընտրանքային արոտատեղերից (աղյուսակներ- 8; 9) ձևավորվող արոտակերը կարող է բավարարել առկա անասնագլխի արոտակերի պահանջը 457+110=567օր: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Արոտավայրերից ձևավորվող (70% թույլատրելի օգտագործումով) ընդհանուր չոր զանգվածի  (1634721.5կգ), ինչպես նաև արոտակերի ապահովման այլընտրանքային կերապահովման տարածքներից (393489 կգ) ձևավորվող համախառն կերային պաշարների և առկա անասնագլխին  արոտային ժամանակահատվածում անհրաժեշտ  (714995 կգ) արոտակերի պահանջի համադրումից պարզ է դառնում, որ ձևավորվող արոտակերը  կարող է բավարարել առկա անասնագլխի արոտային շրջանում անհրաժեշտ կերի պահանջը կրկնակի և ավել անգամ 283.6 %-ով: </w:t>
      </w:r>
      <w:bookmarkStart w:id="56" w:name="_Toc524700607"/>
      <w:bookmarkStart w:id="57" w:name="_Toc402354617"/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sz w:val="16"/>
          <w:szCs w:val="16"/>
        </w:rPr>
        <w:t xml:space="preserve"> </w:t>
      </w:r>
      <w:r w:rsidRPr="00AF4210">
        <w:rPr>
          <w:rFonts w:ascii="Sylfaen" w:hAnsi="Sylfaen"/>
          <w:b/>
          <w:sz w:val="16"/>
          <w:szCs w:val="16"/>
        </w:rPr>
        <w:t xml:space="preserve">6.2. </w:t>
      </w:r>
      <w:r w:rsidRPr="00AF4210">
        <w:rPr>
          <w:rFonts w:ascii="Sylfaen" w:hAnsi="Sylfaen" w:cs="Sylfaen"/>
          <w:b/>
          <w:sz w:val="16"/>
          <w:szCs w:val="16"/>
        </w:rPr>
        <w:t>Կենդանիների</w:t>
      </w:r>
      <w:r w:rsidRPr="00AF4210">
        <w:rPr>
          <w:rFonts w:ascii="Sylfaen" w:hAnsi="Sylfaen"/>
          <w:b/>
          <w:sz w:val="16"/>
          <w:szCs w:val="16"/>
        </w:rPr>
        <w:t xml:space="preserve"> </w:t>
      </w:r>
      <w:r w:rsidRPr="00AF4210">
        <w:rPr>
          <w:rFonts w:ascii="Sylfaen" w:hAnsi="Sylfaen" w:cs="Sylfaen"/>
          <w:b/>
          <w:sz w:val="16"/>
          <w:szCs w:val="16"/>
        </w:rPr>
        <w:t>կերակրման</w:t>
      </w:r>
      <w:r w:rsidRPr="00AF4210">
        <w:rPr>
          <w:rFonts w:ascii="Sylfaen" w:hAnsi="Sylfaen"/>
          <w:b/>
          <w:sz w:val="16"/>
          <w:szCs w:val="16"/>
        </w:rPr>
        <w:t xml:space="preserve"> </w:t>
      </w:r>
      <w:r w:rsidRPr="00AF4210">
        <w:rPr>
          <w:rFonts w:ascii="Sylfaen" w:hAnsi="Sylfaen" w:cs="Sylfaen"/>
          <w:b/>
          <w:sz w:val="16"/>
          <w:szCs w:val="16"/>
        </w:rPr>
        <w:t>և</w:t>
      </w:r>
      <w:r w:rsidRPr="00AF4210">
        <w:rPr>
          <w:rFonts w:ascii="Sylfaen" w:hAnsi="Sylfaen"/>
          <w:b/>
          <w:sz w:val="16"/>
          <w:szCs w:val="16"/>
        </w:rPr>
        <w:t xml:space="preserve"> </w:t>
      </w:r>
      <w:r w:rsidRPr="00AF4210">
        <w:rPr>
          <w:rFonts w:ascii="Sylfaen" w:hAnsi="Sylfaen" w:cs="Sylfaen"/>
          <w:b/>
          <w:sz w:val="16"/>
          <w:szCs w:val="16"/>
        </w:rPr>
        <w:t>կերերի</w:t>
      </w:r>
      <w:r w:rsidRPr="00AF4210">
        <w:rPr>
          <w:rFonts w:ascii="Sylfaen" w:hAnsi="Sylfaen"/>
          <w:b/>
          <w:sz w:val="16"/>
          <w:szCs w:val="16"/>
        </w:rPr>
        <w:t xml:space="preserve"> </w:t>
      </w:r>
      <w:r w:rsidRPr="00AF4210">
        <w:rPr>
          <w:rFonts w:ascii="Sylfaen" w:hAnsi="Sylfaen" w:cs="Sylfaen"/>
          <w:b/>
          <w:sz w:val="16"/>
          <w:szCs w:val="16"/>
        </w:rPr>
        <w:t>հաշվեկշիռ</w:t>
      </w:r>
      <w:bookmarkEnd w:id="56"/>
      <w:bookmarkEnd w:id="57"/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Հորբատեղ բնակավայրում հաշվառված անասնագլխի 1 տարվա կերային ռեսուրսները, արոտային և մսուրային շրջաններում առկա անասնագլխի արոտակերի և խոտի պահանջի ապահովածությունը: </w:t>
      </w:r>
    </w:p>
    <w:p w:rsidR="00BE670B" w:rsidRPr="00AF4210" w:rsidRDefault="00BE670B" w:rsidP="00BE670B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Աղյուսակ 10            </w:t>
      </w:r>
    </w:p>
    <w:p w:rsidR="00BE670B" w:rsidRPr="00AF4210" w:rsidRDefault="00BE670B" w:rsidP="00BE670B">
      <w:pPr>
        <w:spacing w:line="360" w:lineRule="auto"/>
        <w:jc w:val="center"/>
        <w:rPr>
          <w:rFonts w:ascii="Sylfaen" w:hAnsi="Sylfaen"/>
          <w:bCs w:val="0"/>
          <w:color w:val="FF0000"/>
          <w:spacing w:val="0"/>
          <w:sz w:val="16"/>
          <w:szCs w:val="16"/>
          <w:highlight w:val="yellow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Արոտային և մսուրային շրջանների կերերով </w:t>
      </w:r>
      <w:r w:rsidRPr="00AF4210">
        <w:rPr>
          <w:rFonts w:ascii="Sylfaen" w:hAnsi="Sylfaen"/>
          <w:bCs w:val="0"/>
          <w:color w:val="auto"/>
          <w:sz w:val="16"/>
          <w:szCs w:val="16"/>
        </w:rPr>
        <w:t>(</w:t>
      </w:r>
      <w:r w:rsidRPr="00AF4210">
        <w:rPr>
          <w:rFonts w:ascii="Sylfaen" w:eastAsia="Times New Roman" w:hAnsi="Sylfaen" w:cs="Arial"/>
          <w:bCs w:val="0"/>
          <w:color w:val="auto"/>
          <w:spacing w:val="0"/>
          <w:sz w:val="16"/>
          <w:szCs w:val="16"/>
          <w:lang w:eastAsia="ru-RU" w:bidi="he-IL"/>
        </w:rPr>
        <w:t>ՉԶ</w:t>
      </w:r>
      <w:r w:rsidRPr="00AF4210">
        <w:rPr>
          <w:rFonts w:ascii="Sylfaen" w:hAnsi="Sylfaen"/>
          <w:bCs w:val="0"/>
          <w:color w:val="auto"/>
          <w:sz w:val="16"/>
          <w:szCs w:val="16"/>
        </w:rPr>
        <w:t>)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ապահովածությունը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700"/>
        <w:gridCol w:w="1418"/>
        <w:gridCol w:w="1417"/>
        <w:gridCol w:w="1842"/>
        <w:gridCol w:w="1558"/>
        <w:gridCol w:w="1233"/>
        <w:gridCol w:w="327"/>
      </w:tblGrid>
      <w:tr w:rsidR="00BE670B" w:rsidRPr="00AF4210" w:rsidTr="00BE670B">
        <w:trPr>
          <w:trHeight w:val="339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Արոտային շրջան,</w:t>
            </w:r>
          </w:p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ԽԵԿ-190 օր, ՄԵԿ-250 օր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Մսուրային շրջան,</w:t>
            </w:r>
          </w:p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ԽԵԿ-175 օր, ՄԵԿ-115 օր</w:t>
            </w:r>
          </w:p>
        </w:tc>
      </w:tr>
      <w:tr w:rsidR="00BE670B" w:rsidRPr="00AF4210" w:rsidTr="00BE670B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  կերեր, 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</w:t>
            </w:r>
          </w:p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կերեր, (խոտ) 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(խոտ) 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ծություն,%</w:t>
            </w:r>
          </w:p>
        </w:tc>
      </w:tr>
      <w:tr w:rsidR="00BE670B" w:rsidRPr="00AF4210" w:rsidTr="00BE670B">
        <w:trPr>
          <w:trHeight w:val="56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գլուխ 3.1, 6.1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աղ. 3; 13</w:t>
            </w:r>
          </w:p>
        </w:tc>
      </w:tr>
      <w:tr w:rsidR="00BE670B" w:rsidRPr="00AF4210" w:rsidTr="00BE670B">
        <w:trPr>
          <w:trHeight w:val="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2028210.5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283.6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578.0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405.6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70.1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670B" w:rsidRPr="00AF4210" w:rsidRDefault="00BE670B">
            <w:pPr>
              <w:spacing w:line="276" w:lineRule="auto"/>
              <w:rPr>
                <w:rFonts w:ascii="Sylfaen" w:hAnsi="Sylfaen"/>
                <w:color w:val="auto"/>
                <w:sz w:val="16"/>
                <w:szCs w:val="16"/>
                <w:highlight w:val="yellow"/>
              </w:rPr>
            </w:pPr>
          </w:p>
        </w:tc>
      </w:tr>
    </w:tbl>
    <w:p w:rsidR="00BE670B" w:rsidRPr="00AF4210" w:rsidRDefault="00BE670B" w:rsidP="00BE670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Ծանոթություն – ԽԵԿ- խոշոր եղջերավոր կենդանի, ՄԵԿ- մանր եղջերավոր կենդանի: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Տվյալները ցույց են տալիս (աղ.10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) ,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  լանդշաֆտային  գոտիների արոտներում (70% թույլատրելի օգտագործմամբ), և այլընտրանքային արոտակերի ապահովման տարածքներում միասին հաշվառված (աղ.8+9) ձևավորվող արոտակերը բավարարում է առկա անասնագլխաքանակին անհրաժեշտ արոտակերի պահանջը կրկնակի և ավել անգամ` 283.6 %-ով: Մսուրային շրջանի համար բնակավայրի պայմաններում  կուտակվող խոտը բավարարում է ընդհանուր պահանջարկը 70.1 %-ով: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Հիմնվելով բնակավայրի պայմաններում արոտային, ինչպես նաև մսուրային ժամանակահատվածներում ձևավորվող և կուտակվող արոտակերի ու խոտի տվյալներին, ինչպես նաև կերարտադրության հնարավորություններին և առկա անասնագլխի կերի պահանջին, պարզվում է, որ բնակավայրի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58" w:name="_Toc17732902"/>
      <w:bookmarkStart w:id="59" w:name="_Toc524700608"/>
      <w:bookmarkStart w:id="60" w:name="_Toc402354618"/>
      <w:r w:rsidRPr="00AF4210">
        <w:rPr>
          <w:rFonts w:ascii="Sylfaen" w:hAnsi="Sylfaen"/>
          <w:sz w:val="16"/>
          <w:szCs w:val="16"/>
        </w:rPr>
        <w:t xml:space="preserve">7. </w:t>
      </w:r>
      <w:r w:rsidRPr="00AF4210">
        <w:rPr>
          <w:rFonts w:ascii="Sylfaen" w:hAnsi="Sylfaen" w:cs="Sylfaen"/>
          <w:sz w:val="16"/>
          <w:szCs w:val="16"/>
        </w:rPr>
        <w:t>Խոշոր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և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մանր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եղջերավոր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կենդանիների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արածեցման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համակարգ</w:t>
      </w:r>
      <w:bookmarkEnd w:id="58"/>
      <w:bookmarkEnd w:id="59"/>
      <w:bookmarkEnd w:id="60"/>
    </w:p>
    <w:p w:rsidR="00BE670B" w:rsidRPr="00AF4210" w:rsidRDefault="00BE670B" w:rsidP="00BE670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color w:val="auto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Հորբատեղ բնակավայրի արոտների օգտագործման (արածեցման) համակարգը ներկայացված է աղյուսակ 14-ում (ա, բ):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համայնքամերձ հատվածներում գտնվում են վատթար վիճակում, հիմնականում գերօգտագործված և մասամբ դեգրադացված են, բուսածածկում գերակշռում են ցածրարժեք տարախոտային բուսատեսակներ: Խնդրի խորացմանը նպաստել է նաև զգալի տարածքներով արոտավայրերում գյուղատնտեսական կենդանիներին անհրաժեշտ խմելաջրի պակասը կամ բացակայությունը, ինչով և պայմանավորված արոտավայրերը օգտագործվել են անհավասարաչափ, հաշվի չի առնվել արոտատեղամասերում նաև անասնագլխով թույլատրելի բեռնավորման նորմը (ԱԹԲ):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արոտավայրերի տեղաբաշխվածությունը և կենսակլիմայական պայմանները ապահովում են արոտային շրջանը գարնանը սկսել ապրիլի III տասնօրյակից (ԽԵԿ-ի համար), ապրիլի առաջին տասնօրյակում (ՄԵԿ-ի համար), ցածրադիր հատվածների արոտատեղամասերից: Ուշ գարնանը նախիրներն ու հոտերը տեղափոխվում են լեռնաանտառային գոտու առավելապես բարձրադիր հատվածների արոտատեղամասեր մինչև սեպտեմբերի երրորդ տասնօրյակը, որից հետո մինչև մսուրային շրջանին անցնելը, արոտակերի ապահովման համար տեղափոխվում են բնակավայրամերձ արոտներ և այլընտրանքային կերապահովման տարածքներ, օգտագործելով նաև հնձված խոտհարքների և վարելահողերի մնացորդային խոզանն ու վերաճած ահլուկը, ինչպես նաև գործառնական նշանակությամբ այլ հողատեսքերի բուսածածկը: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թույլատրելի բեռնավորմամբ արոտների կայուն կառավարումը պայմանավորվում է նաև           արոտավայրերում անհրաժեշտ ենթակառուցվածքների ձևավորումով, մասնավորապես նոր ջրելատեղերի կառուցմամբ և քայքայված ջրելատեղերի վերակառուցմամբ ՊԽՄ-ի խմելաջրի ապահովումը արոտատեղամասերում, ձևավորելու է հնարավորություններ կայուն կառավարման (արոտօգտագործման) կարգեր կիրառելու և արոտավայրերը հավասարաչափ օգտագործելու համար: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բնակավայրամերձ մասամբ դեգրադացված արոտատեղամասերի արդյունավետությունը և բուսածածկի կերային արժեքը,  աստիճանաբար նպաստելով գերօգտագործված և կազմալուծված արոտների վերականգնմանը, կանխելով հողերի էրոզացման հնարավոր գործընթացը և արոտների հետագա հնարավոր դեգրադացումը, ինչը ակնհայտ է 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14-ում (ա, բ) ներկայացված համակարգը ներառում է ԽԵԿ նախիրների և ՄԵԿ հոտերի արոտօգտագործման սխեմաները: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Արածեցման համակարգի մշակման համար հիմք է ընդունվել Հորբատեղ բնակավայրում խոշոր և մանր եղջերավոր անասունների պայմանական գլխաքանակը (</w:t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ՊԳ,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 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</w:t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օրվա արածեցման հաշվարկը որոշվում է մեկ օրվա համար 400 կգ մարմնի քաշ ունեցող կովին անհրաժեշտ չոր կերի քանակով (10 կգ):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Արոտատեղամասերում արոտօգտագործման օրերի քանակը հաշվարկվում է հետևյալ բանաձևով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`  </w:t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Արոտային</w:t>
      </w:r>
      <w:proofErr w:type="gramEnd"/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տարածք x միջին բերքատվություն x 70% /ՊԳ-ի օրեկան կերի պահանջ (կգ)/ նախիրի գլխաքանակ (ՊԳ):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11</w:t>
      </w:r>
    </w:p>
    <w:p w:rsidR="00BE670B" w:rsidRPr="00AF4210" w:rsidRDefault="00BE670B" w:rsidP="00BE670B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ԽԵԿ և ՄԵԿ պայմանական գլխաքանակի (ՊԳ) հաշվարկ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1754"/>
        <w:gridCol w:w="2363"/>
        <w:gridCol w:w="2134"/>
      </w:tblGrid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153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33.6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22.5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5.2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33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Մաքիներ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39.6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34</w:t>
            </w:r>
          </w:p>
        </w:tc>
      </w:tr>
      <w:tr w:rsidR="00BE670B" w:rsidRPr="00AF4210" w:rsidTr="00BE670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200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12.6</w:t>
            </w:r>
          </w:p>
        </w:tc>
      </w:tr>
      <w:tr w:rsidR="00BE670B" w:rsidRPr="00AF4210" w:rsidTr="00BE670B">
        <w:trPr>
          <w:cantSplit/>
          <w:trHeight w:val="153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1185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0B" w:rsidRPr="00AF4210" w:rsidRDefault="00BE670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355</w:t>
            </w:r>
          </w:p>
        </w:tc>
      </w:tr>
    </w:tbl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Ըստ ՏԻ մարմնի տրամադրած տեղեկատվության, Հորբատեղ բնակավայրում գործում են ՄԵԿ (ոչխարի) 3 հոտեր և ԽԵԿ-ի 3 նախիրներ, որից 2-ը կովերի, 1-ը տարբեր սեռահասակային խմբերի ԽԵԿ-ի (աղ. 12): Նախիրներում և հոտերում հաշվվում է շուրջ 355 ՊԳ խոշոր միավոր</w:t>
      </w:r>
    </w:p>
    <w:p w:rsidR="00BE670B" w:rsidRPr="00AF4210" w:rsidRDefault="00BE670B" w:rsidP="00BE670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Աղյուսակ 12</w:t>
      </w:r>
    </w:p>
    <w:p w:rsidR="00BE670B" w:rsidRPr="00AF4210" w:rsidRDefault="00BE670B" w:rsidP="00BE670B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551"/>
        <w:gridCol w:w="2127"/>
      </w:tblGrid>
      <w:tr w:rsidR="00BE670B" w:rsidRPr="00AF4210" w:rsidTr="00BE670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Նախիրների և հոտերի թիվը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նախիրում և հոտում ՊԳ քանակը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ՊԳ</w:t>
            </w:r>
          </w:p>
        </w:tc>
      </w:tr>
      <w:tr w:rsidR="00BE670B" w:rsidRPr="00AF4210" w:rsidTr="00BE670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Նախիր(կովի) 1,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76+77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153</w:t>
            </w:r>
          </w:p>
        </w:tc>
      </w:tr>
      <w:tr w:rsidR="00BE670B" w:rsidRPr="00AF4210" w:rsidTr="00BE670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 տարբեր սեռահասակային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116</w:t>
            </w:r>
          </w:p>
        </w:tc>
      </w:tr>
      <w:tr w:rsidR="00BE670B" w:rsidRPr="00AF4210" w:rsidTr="00BE670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Հոտ 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30+30+26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86</w:t>
            </w:r>
          </w:p>
        </w:tc>
      </w:tr>
      <w:tr w:rsidR="00BE670B" w:rsidRPr="00AF4210" w:rsidTr="00BE670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355</w:t>
            </w:r>
          </w:p>
        </w:tc>
      </w:tr>
    </w:tbl>
    <w:p w:rsidR="00BE670B" w:rsidRPr="00AF4210" w:rsidRDefault="00BE670B" w:rsidP="00BE670B">
      <w:p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 –Ձիերի գլխաքանակը ներառնված է մանր եղջերավորի հոտերի մեջ:</w:t>
      </w:r>
    </w:p>
    <w:p w:rsidR="00BE670B" w:rsidRPr="00AF4210" w:rsidRDefault="00BE670B" w:rsidP="00BE670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Գարնանը, արոտային շրջանի սկզբնամասում օգտագործվում է բնակավայրամերձ առավել ցածրադիր արոտները, ուշ գարնանը և  ամռան սկզբին նախիրները և հոտը տեղափոխվում են առավել բարձրադիր արոտատեղամասեր, մինջև սեպտեմբերի առաջին տասնօրյակը,  որից հետո հակառակ ընթացքով շարժվում են դեպի առավել ցածրադիր և բնակավայրամերձ արոտատեղամասեր, հնձված խոտհարքային տարածքներ և բերքահավաք կատարած վարելահողեր, ուր արոտակերի ապահովումն իրականացվում է մնացորդային խոզանների ու վերաճած ահլուկի արածումով, մինչև մսուրային շրջանին անցնելը: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առկա անասնագլխին արոտակերով ապահովման համար արոտային շրջանում օգտագործվում են արոտների, ինչպես նաև այլընտրանքային կերապահովման տարածքների բուսածածկերը: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 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 արժեքից, ձևավորվող արոտակերի ընդհանուր քանակի և արոտավայրերի թույլատրելի բեռնավորման (ԱԹԲ) նորմի հաշվարկից, պարզվում է, որ բնակավայրի արոտավայրերում (70% թույլատրելի օգտագործումով) և արոտակերի ապահովման այլընտրանքային տարածքներում ձևավորվող համախառն արոտակերի պաշարները,  արոտային ժամանակահատվածում կարող են ապահովել շուրջ 1060 ՊԳ խոշոր միավորի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կերի պահանջ: Հաշվի առնելով բնակավայրոում առկա անասնագլխաքանակը (355 ՊԽՄ), պարզ է դառնում, որ արոտային կերերով բնակավայրը լիովին ապահովված է: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Հորբատեղ բնակավայրում հաշվառված շուրջ 83 գլուխ ( ՊԽՄ) այլ սեռահասակային ԽԵԿ-երի (մինջև 1 տարեկան հորթերը` 33 ՊԽՄ հաշվառված չէ), ամառային արոտային շրջանը կազմակերպում է հեռագնա արոտներում: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պայմաններում ԽԵԿ-ի մինջև 12 ամսեկան հորթերի (33 ՊԽՄ) արոտային շրջանը կազմակերպվում է հիմնականում վարելահողերի միջնակներում կամ տնամերձ տարածքներում կապովի եղանակով, կամ ուղղակի մսուրային պահվածքով, մինջև խոտհարքներում և վարելահողերում բերքահավաքը, որից հետո ազատ պահվածքով արոտի են դուրս բերվում այս տարածքներում: Հաշվի առնելով այս հանգամանքը հորթերի գլխաքանակը          (33 ՊԳ) չի ներառնվել արոտօգտագործման` արածեցման գրաֆիկում: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արոտավայրերի արդյունավետ օգտագործում իրականացնելու և անասնագլխի կերապահովման խնդիրը լուծելու համար, առաջարկում ենք Հորբատեղ բնակավայրի արոտների օգտագործումը (արածեցումը) կազմակերպել կովերի 2 նախիրներով (153 ՊԽՄ), այլ սեռահասակային խմբերի ԽԵԿ-ի 1 նախիրով (83 ՊԽՄ) և ՄԵԿ-ի 3 հոտերով (86 ՊԽՄ),: Արոտատեղամասերում արածեցումը  իրականացնել ըստ առանձին նախիրների` մեկ ՊԳ/հատված հիմունքով: Անհրաժեշտ է նաև, որ նախիրների և հոտի արածեցման համակարգը հետևի համապատասխան արածեցման ժամկետներին, որոնք նշված են Աղյուսակ 14 ա, բ-ի հերթափոխային արածեցման գրաֆիկում:</w:t>
      </w:r>
      <w:r w:rsidRPr="00AF4210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արոտատեղամասում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 ա, բ-ում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2 տարիների ընթացքում համայնքամերձ արոտավայրերի վիճակը կայուն կառավարումով (արոտաշրջանառության իրականացմամբ) հնարավոր է բարելավել, հետագա դեգրադացումը մեղմելով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 պետք է գիտակցի, որ այս ձեռնարկը համայնքի բոլոր բնակիչների օգտին է և տնտեսական, և բնապահպանական առումներով: 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խոզանի բարձրության շեմը: Այս հանգամանքը ՏԻՄ-երին հնարավորություն է տալիս մշակել նոր, փոփոխված արածեցման սխեմաներ, դրանով իսկ ապահովել արոտամասերի արդյունավետ օգտագործումը անասնագլխաքանակի ավելացման, կլիմայական պայմանների և այլ գործոնների փոփոխման պայմաններում: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pStyle w:val="1"/>
        <w:jc w:val="center"/>
        <w:rPr>
          <w:rFonts w:ascii="Sylfaen" w:hAnsi="Sylfaen"/>
          <w:sz w:val="16"/>
          <w:szCs w:val="16"/>
        </w:rPr>
      </w:pPr>
      <w:bookmarkStart w:id="61" w:name="_Toc17732903"/>
      <w:r w:rsidRPr="00AF4210">
        <w:rPr>
          <w:rFonts w:ascii="Sylfaen" w:hAnsi="Sylfaen"/>
          <w:sz w:val="16"/>
          <w:szCs w:val="16"/>
        </w:rPr>
        <w:t xml:space="preserve">8. </w:t>
      </w:r>
      <w:r w:rsidRPr="00AF4210">
        <w:rPr>
          <w:rFonts w:ascii="Sylfaen" w:hAnsi="Sylfaen" w:cs="Sylfaen"/>
          <w:sz w:val="16"/>
          <w:szCs w:val="16"/>
        </w:rPr>
        <w:t>Մսուրային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շրջանում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կուտակվող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կերեր</w:t>
      </w:r>
      <w:r w:rsidRPr="00AF4210">
        <w:rPr>
          <w:rFonts w:ascii="Sylfaen" w:hAnsi="Sylfaen" w:cs="Cambria"/>
          <w:sz w:val="16"/>
          <w:szCs w:val="16"/>
        </w:rPr>
        <w:t xml:space="preserve"> (</w:t>
      </w:r>
      <w:r w:rsidRPr="00AF4210">
        <w:rPr>
          <w:rFonts w:ascii="Sylfaen" w:hAnsi="Sylfaen" w:cs="Sylfaen"/>
          <w:sz w:val="16"/>
          <w:szCs w:val="16"/>
        </w:rPr>
        <w:t>խոտի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ապահովածությունը</w:t>
      </w:r>
      <w:r w:rsidRPr="00AF4210">
        <w:rPr>
          <w:rFonts w:ascii="Sylfaen" w:hAnsi="Sylfaen" w:cs="Cambria"/>
          <w:sz w:val="16"/>
          <w:szCs w:val="16"/>
        </w:rPr>
        <w:t>)</w:t>
      </w:r>
      <w:bookmarkEnd w:id="61"/>
    </w:p>
    <w:p w:rsidR="00BE670B" w:rsidRPr="00AF4210" w:rsidRDefault="00BE670B" w:rsidP="00BE670B">
      <w:pPr>
        <w:spacing w:line="360" w:lineRule="auto"/>
        <w:ind w:left="720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13</w:t>
      </w:r>
    </w:p>
    <w:p w:rsidR="00BE670B" w:rsidRPr="00AF4210" w:rsidRDefault="00BE670B" w:rsidP="00BE670B">
      <w:pPr>
        <w:tabs>
          <w:tab w:val="left" w:pos="360"/>
        </w:tabs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Անասնագլխի մսուրային շրջանի խոտի պահանջն ու ապահովածությունը</w:t>
      </w:r>
    </w:p>
    <w:tbl>
      <w:tblPr>
        <w:tblW w:w="951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995"/>
        <w:gridCol w:w="819"/>
        <w:gridCol w:w="882"/>
        <w:gridCol w:w="966"/>
        <w:gridCol w:w="1301"/>
        <w:gridCol w:w="1126"/>
        <w:gridCol w:w="998"/>
        <w:gridCol w:w="1423"/>
      </w:tblGrid>
      <w:tr w:rsidR="00BE670B" w:rsidRPr="00AF4210" w:rsidTr="00BE670B">
        <w:trPr>
          <w:cantSplit/>
          <w:trHeight w:val="2086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ՉԶ օրական  պահանջը, կգ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պահանջարկ,տ.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Կուտակվող խոտի քանակը, տ.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Անհրաժեշտ խոտի ավելցուկը,տ.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թյուն,%</w:t>
            </w: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Դ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Ե=ԲxԳxԴ /1000կգ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Զ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Ը=Զ/Եx100%</w:t>
            </w: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153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267.75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405.6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-172.4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70.1</w:t>
            </w: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120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2.75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205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57.75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50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39.3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lastRenderedPageBreak/>
              <w:t>Չբուծվող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9.18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7.5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38.5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44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61.6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Մաքիներ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317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45.5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272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39.1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200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0.62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19.2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8.75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Ավանակներ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6.5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BE670B" w:rsidRPr="00AF4210" w:rsidTr="00BE670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AF4210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1185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70B" w:rsidRPr="00AF4210" w:rsidRDefault="00BE670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 w:cs="Calibri"/>
                <w:color w:val="auto"/>
                <w:sz w:val="16"/>
                <w:szCs w:val="16"/>
              </w:rPr>
              <w:t>578.0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</w:tbl>
    <w:p w:rsidR="00BE670B" w:rsidRPr="00AF4210" w:rsidRDefault="00BE670B" w:rsidP="00BE670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2" w:name="_Toc402354620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Հորբատեղ բնակավայրում մսուրային շրջանի համար կուտակվող կերերի ձեռքբերման աղբյուրները և քանակությունը          </w:t>
      </w:r>
    </w:p>
    <w:p w:rsidR="00BE670B" w:rsidRPr="00AF4210" w:rsidRDefault="00BE670B" w:rsidP="00BE670B">
      <w:pPr>
        <w:tabs>
          <w:tab w:val="left" w:pos="0"/>
        </w:tabs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Չմշակվող վարելահողերից խոտ                     50 հա x 3.5տ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=  165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BE670B" w:rsidRPr="00AF4210" w:rsidRDefault="00BE670B" w:rsidP="00BE670B">
      <w:pPr>
        <w:tabs>
          <w:tab w:val="left" w:pos="0"/>
        </w:tabs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Տնամերձ հողերից խոտ-                              30.0 հա x 4.0 տ </w:t>
      </w:r>
      <w:proofErr w:type="gramStart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=  120</w:t>
      </w:r>
      <w:proofErr w:type="gramEnd"/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խոտհարքներից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ab/>
        <w:t>-խոտ</w:t>
      </w: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        48.24 հա x 2.5 տ = 120.6 տ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Գնովի խոտ                                                                                   170տ </w:t>
      </w:r>
    </w:p>
    <w:p w:rsidR="00BE670B" w:rsidRPr="00AF4210" w:rsidRDefault="00BE670B" w:rsidP="00BE670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                                                                    30տ</w:t>
      </w:r>
    </w:p>
    <w:p w:rsidR="00BE670B" w:rsidRPr="00AF4210" w:rsidRDefault="00BE670B" w:rsidP="00BE670B">
      <w:pPr>
        <w:tabs>
          <w:tab w:val="left" w:pos="0"/>
        </w:tabs>
        <w:spacing w:line="276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Ընդամենը</w:t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AF4210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  <w:t xml:space="preserve">                                  759.0 տ     </w:t>
      </w:r>
    </w:p>
    <w:p w:rsidR="00BE670B" w:rsidRPr="00AF4210" w:rsidRDefault="00BE670B" w:rsidP="00BE670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կերերը հիմնականում օգտագործվում ընտանի թռչունների կերակրման համար, մասամբ նաև բտվող կենդանիների քաշաճի ավելացման նպատակով լրացուցիչ կերակրում կազմակերպելու համար:</w:t>
      </w:r>
    </w:p>
    <w:p w:rsidR="00BE670B" w:rsidRPr="00AF4210" w:rsidRDefault="00BE670B" w:rsidP="00BE670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մսուրային շրջանում օգտագործվող խոտի պահանջը սեփական արտադրությամբ բավարարվում է 70.1 %-ով` խոտհարքի համար օգտագործվող չմշակվող վարելահողերից, տնամերձ տարածքներից, ինչպես նաև բնական խոտհարքներից: Խոտի պակասը լրացվում է հիմնականում հարևան բնակավայրերից գնումներով:</w:t>
      </w:r>
    </w:p>
    <w:p w:rsidR="00BE670B" w:rsidRPr="00AF4210" w:rsidRDefault="00BE670B" w:rsidP="00BE670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դաշտավարությամբ որակյալ կերերի արտադրության կազմակերպման, գնովի խտացված և հատիկային կերերը տեղական արտադրությամբ ապահովելու, ինչպես նաև չմշակվող վարելահողերի հնարավոր դեգրադացումը կանխելու համար, առաջնահերթ անհրաժեշտություն է բնակավայրում կերարտադրության առկա ծավալների ընդլայնման համար անհրաժեշտ նախադրյալների ստեղծումը:</w:t>
      </w:r>
    </w:p>
    <w:p w:rsidR="00BE670B" w:rsidRPr="00AF4210" w:rsidRDefault="00BE670B" w:rsidP="00BE670B">
      <w:pPr>
        <w:spacing w:line="360" w:lineRule="auto"/>
        <w:rPr>
          <w:rFonts w:ascii="Sylfaen" w:eastAsia="Times New Roman" w:hAnsi="Sylfaen"/>
          <w:b/>
          <w:color w:val="FF0000"/>
          <w:spacing w:val="0"/>
          <w:kern w:val="32"/>
          <w:sz w:val="16"/>
          <w:szCs w:val="16"/>
        </w:rPr>
        <w:sectPr w:rsidR="00BE670B" w:rsidRPr="00AF4210" w:rsidSect="00AF4210">
          <w:pgSz w:w="11907" w:h="16840"/>
          <w:pgMar w:top="426" w:right="708" w:bottom="567" w:left="709" w:header="709" w:footer="843" w:gutter="0"/>
          <w:pgNumType w:chapStyle="1"/>
          <w:cols w:space="720"/>
        </w:sectPr>
      </w:pPr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63" w:name="_Toc524700611"/>
      <w:bookmarkStart w:id="64" w:name="_Toc17732904"/>
      <w:r w:rsidRPr="00AF4210">
        <w:rPr>
          <w:rFonts w:ascii="Sylfaen" w:hAnsi="Sylfaen"/>
          <w:sz w:val="16"/>
          <w:szCs w:val="16"/>
        </w:rPr>
        <w:lastRenderedPageBreak/>
        <w:t xml:space="preserve">9. </w:t>
      </w:r>
      <w:r w:rsidRPr="00AF4210">
        <w:rPr>
          <w:rFonts w:ascii="Sylfaen" w:hAnsi="Sylfaen"/>
          <w:bCs w:val="0"/>
          <w:sz w:val="16"/>
          <w:szCs w:val="16"/>
        </w:rPr>
        <w:t>Հորբատեղ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բնակավայրում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արոտատեղամասերի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բաշխվածության</w:t>
      </w:r>
      <w:r w:rsidRPr="00AF4210">
        <w:rPr>
          <w:rFonts w:ascii="Sylfaen" w:hAnsi="Sylfaen" w:cs="Cambria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քարտեզ</w:t>
      </w:r>
      <w:bookmarkEnd w:id="63"/>
      <w:bookmarkEnd w:id="64"/>
    </w:p>
    <w:bookmarkEnd w:id="62"/>
    <w:p w:rsidR="00BE670B" w:rsidRPr="00AF4210" w:rsidRDefault="00BE670B" w:rsidP="00BE670B">
      <w:pPr>
        <w:rPr>
          <w:sz w:val="16"/>
          <w:szCs w:val="16"/>
        </w:rPr>
      </w:pPr>
      <w:r w:rsidRPr="00AF4210">
        <w:rPr>
          <w:noProof/>
          <w:sz w:val="16"/>
          <w:szCs w:val="16"/>
          <w:lang w:val="ru-RU" w:eastAsia="ru-RU"/>
        </w:rPr>
        <w:drawing>
          <wp:inline distT="0" distB="0" distL="0" distR="0" wp14:anchorId="05C33CA3" wp14:editId="2DF9E653">
            <wp:extent cx="6262370" cy="8463280"/>
            <wp:effectExtent l="0" t="0" r="5080" b="0"/>
            <wp:docPr id="2" name="Рисунок 2" descr="Horbate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bateg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210">
        <w:rPr>
          <w:sz w:val="16"/>
          <w:szCs w:val="16"/>
        </w:rPr>
        <w:t xml:space="preserve"> </w:t>
      </w:r>
    </w:p>
    <w:p w:rsidR="00BE670B" w:rsidRPr="00AF4210" w:rsidRDefault="00BE670B" w:rsidP="00BE670B">
      <w:pPr>
        <w:rPr>
          <w:sz w:val="16"/>
          <w:szCs w:val="16"/>
        </w:rPr>
      </w:pPr>
    </w:p>
    <w:p w:rsidR="00BE670B" w:rsidRPr="00AF4210" w:rsidRDefault="00BE670B" w:rsidP="00BE670B">
      <w:pPr>
        <w:pStyle w:val="1"/>
        <w:jc w:val="center"/>
        <w:rPr>
          <w:rFonts w:ascii="Sylfaen" w:hAnsi="Sylfaen"/>
          <w:sz w:val="16"/>
          <w:szCs w:val="16"/>
        </w:rPr>
      </w:pPr>
      <w:bookmarkStart w:id="65" w:name="_Toc17732905"/>
      <w:r w:rsidRPr="00AF4210">
        <w:rPr>
          <w:rFonts w:ascii="Sylfaen" w:hAnsi="Sylfaen"/>
          <w:sz w:val="16"/>
          <w:szCs w:val="16"/>
        </w:rPr>
        <w:t xml:space="preserve">10. </w:t>
      </w:r>
      <w:r w:rsidRPr="00AF4210">
        <w:rPr>
          <w:rFonts w:ascii="Sylfaen" w:hAnsi="Sylfaen" w:cs="Sylfaen"/>
          <w:sz w:val="16"/>
          <w:szCs w:val="16"/>
        </w:rPr>
        <w:t>Հորբատեղ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բնակավայրում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արոտատեղամասերի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բաշխվածության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գոտիականության</w:t>
      </w:r>
      <w:r w:rsidRPr="00AF4210">
        <w:rPr>
          <w:rFonts w:ascii="Sylfaen" w:hAnsi="Sylfaen"/>
          <w:sz w:val="16"/>
          <w:szCs w:val="16"/>
        </w:rPr>
        <w:t xml:space="preserve"> </w:t>
      </w:r>
      <w:r w:rsidRPr="00AF4210">
        <w:rPr>
          <w:rFonts w:ascii="Sylfaen" w:hAnsi="Sylfaen" w:cs="Sylfaen"/>
          <w:sz w:val="16"/>
          <w:szCs w:val="16"/>
        </w:rPr>
        <w:t>քարտեզ</w:t>
      </w:r>
      <w:bookmarkEnd w:id="65"/>
    </w:p>
    <w:p w:rsidR="00BE670B" w:rsidRPr="00AF4210" w:rsidRDefault="00BE670B" w:rsidP="00BE670B">
      <w:pPr>
        <w:rPr>
          <w:sz w:val="16"/>
          <w:szCs w:val="16"/>
        </w:rPr>
      </w:pPr>
    </w:p>
    <w:p w:rsidR="00BE670B" w:rsidRPr="00AF4210" w:rsidRDefault="00BE670B" w:rsidP="00BE670B">
      <w:pPr>
        <w:spacing w:line="360" w:lineRule="auto"/>
        <w:ind w:left="-1134" w:firstLine="141"/>
        <w:rPr>
          <w:rFonts w:ascii="Sylfaen" w:hAnsi="Sylfaen"/>
          <w:sz w:val="16"/>
          <w:szCs w:val="16"/>
          <w:lang w:val="fr-FR"/>
        </w:rPr>
      </w:pPr>
      <w:bookmarkStart w:id="66" w:name="_Toc524700612"/>
      <w:r w:rsidRPr="00AF4210">
        <w:rPr>
          <w:rFonts w:ascii="Sylfaen" w:hAnsi="Sylfae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705BEF7" wp14:editId="627BE823">
            <wp:extent cx="6804660" cy="7389495"/>
            <wp:effectExtent l="0" t="0" r="0" b="1905"/>
            <wp:docPr id="1" name="Рисунок 1" descr="Horbategh_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bategh_Eleva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0B" w:rsidRPr="00AF4210" w:rsidRDefault="00BE670B" w:rsidP="00BE670B">
      <w:pPr>
        <w:spacing w:line="360" w:lineRule="auto"/>
        <w:rPr>
          <w:rFonts w:ascii="Sylfaen" w:hAnsi="Sylfaen"/>
          <w:sz w:val="16"/>
          <w:szCs w:val="16"/>
          <w:lang w:val="fr-FR"/>
        </w:rPr>
        <w:sectPr w:rsidR="00BE670B" w:rsidRPr="00AF4210">
          <w:pgSz w:w="11907" w:h="16840"/>
          <w:pgMar w:top="1134" w:right="477" w:bottom="567" w:left="1440" w:header="709" w:footer="1077" w:gutter="0"/>
          <w:pgNumType w:chapStyle="1"/>
          <w:cols w:space="720"/>
        </w:sectPr>
      </w:pPr>
    </w:p>
    <w:p w:rsidR="00BE670B" w:rsidRPr="00AF4210" w:rsidRDefault="00BE670B" w:rsidP="00BE670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  <w:lang w:val="fr-FR"/>
        </w:rPr>
      </w:pPr>
      <w:bookmarkStart w:id="67" w:name="_Toc17732906"/>
      <w:r w:rsidRPr="00AF4210">
        <w:rPr>
          <w:rFonts w:ascii="Sylfaen" w:hAnsi="Sylfaen"/>
          <w:sz w:val="16"/>
          <w:szCs w:val="16"/>
          <w:lang w:val="fr-FR"/>
        </w:rPr>
        <w:lastRenderedPageBreak/>
        <w:t xml:space="preserve">11. </w:t>
      </w:r>
      <w:r w:rsidRPr="00AF4210">
        <w:rPr>
          <w:rFonts w:ascii="Sylfaen" w:hAnsi="Sylfaen"/>
          <w:bCs w:val="0"/>
          <w:sz w:val="16"/>
          <w:szCs w:val="16"/>
        </w:rPr>
        <w:t>Հորբատեղ</w:t>
      </w:r>
      <w:r w:rsidRPr="00AF4210">
        <w:rPr>
          <w:rFonts w:ascii="Sylfaen" w:hAnsi="Sylfaen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sz w:val="16"/>
          <w:szCs w:val="16"/>
          <w:lang w:val="fr-FR"/>
        </w:rPr>
        <w:t>բնակավայրում</w:t>
      </w:r>
      <w:r w:rsidRPr="00AF4210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sz w:val="16"/>
          <w:szCs w:val="16"/>
          <w:lang w:val="fr-FR"/>
        </w:rPr>
        <w:t>արոտատեղամասերի</w:t>
      </w:r>
      <w:r w:rsidRPr="00AF4210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sz w:val="16"/>
          <w:szCs w:val="16"/>
          <w:lang w:val="fr-FR"/>
        </w:rPr>
        <w:t>արածեցման</w:t>
      </w:r>
      <w:r w:rsidRPr="00AF4210">
        <w:rPr>
          <w:rFonts w:ascii="Sylfaen" w:hAnsi="Sylfaen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sz w:val="16"/>
          <w:szCs w:val="16"/>
          <w:lang w:val="fr-FR"/>
        </w:rPr>
        <w:t>գրաֆիկ</w:t>
      </w:r>
      <w:bookmarkEnd w:id="66"/>
      <w:bookmarkEnd w:id="67"/>
    </w:p>
    <w:p w:rsidR="00BE670B" w:rsidRPr="00AF4210" w:rsidRDefault="00BE670B" w:rsidP="00BE670B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AF4210">
        <w:rPr>
          <w:rFonts w:ascii="Sylfaen" w:hAnsi="Sylfaen" w:cs="Sylfaen"/>
          <w:color w:val="auto"/>
          <w:sz w:val="16"/>
          <w:szCs w:val="16"/>
        </w:rPr>
        <w:t>Աղյուսակ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AF4210">
        <w:rPr>
          <w:rFonts w:ascii="Sylfaen" w:hAnsi="Sylfaen" w:cs="Sylfaen"/>
          <w:color w:val="auto"/>
          <w:sz w:val="16"/>
          <w:szCs w:val="16"/>
        </w:rPr>
        <w:t>ա</w:t>
      </w:r>
    </w:p>
    <w:p w:rsidR="00BE670B" w:rsidRPr="00AF4210" w:rsidRDefault="00BE670B" w:rsidP="00BE670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Հորբատեղ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ԽԵԿ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4210">
        <w:rPr>
          <w:rFonts w:ascii="Sylfaen" w:hAnsi="Sylfaen" w:cs="Sylfaen"/>
          <w:color w:val="auto"/>
          <w:sz w:val="16"/>
          <w:szCs w:val="16"/>
        </w:rPr>
        <w:t>ի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և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ՄԵԿ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4210">
        <w:rPr>
          <w:rFonts w:ascii="Sylfaen" w:hAnsi="Sylfaen" w:cs="Sylfaen"/>
          <w:color w:val="auto"/>
          <w:sz w:val="16"/>
          <w:szCs w:val="16"/>
        </w:rPr>
        <w:t>ի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արածեցման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գրաֆիկ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BE670B" w:rsidRPr="00AF4210" w:rsidRDefault="00BE670B" w:rsidP="00BE670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AF4210">
        <w:rPr>
          <w:rFonts w:ascii="Sylfaen" w:hAnsi="Sylfaen"/>
          <w:color w:val="auto"/>
          <w:sz w:val="16"/>
          <w:szCs w:val="16"/>
          <w:lang w:val="fr-FR"/>
        </w:rPr>
        <w:t xml:space="preserve">(1-ին </w:t>
      </w:r>
      <w:r w:rsidRPr="00AF4210">
        <w:rPr>
          <w:rFonts w:ascii="Sylfaen" w:hAnsi="Sylfaen"/>
          <w:color w:val="auto"/>
          <w:sz w:val="16"/>
          <w:szCs w:val="16"/>
        </w:rPr>
        <w:t>տարի</w:t>
      </w:r>
      <w:r w:rsidRPr="00AF4210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78"/>
        <w:gridCol w:w="2071"/>
        <w:gridCol w:w="901"/>
        <w:gridCol w:w="1351"/>
        <w:gridCol w:w="1441"/>
        <w:gridCol w:w="1441"/>
        <w:gridCol w:w="811"/>
        <w:gridCol w:w="630"/>
        <w:gridCol w:w="486"/>
      </w:tblGrid>
      <w:tr w:rsidR="00BE670B" w:rsidRPr="00AF4210" w:rsidTr="00BE670B">
        <w:trPr>
          <w:trHeight w:val="1173"/>
        </w:trPr>
        <w:tc>
          <w:tcPr>
            <w:tcW w:w="3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ռո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AF4210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AF4210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BE670B" w:rsidRPr="00AF4210" w:rsidTr="00BE670B">
        <w:trPr>
          <w:trHeight w:val="59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Արևկող-1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99.6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01-15/05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Կարմրահողեր-1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50.56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16/05-23/06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Արևկող-2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112.79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24/06-05/07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28/09-20/10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Կարմրահողեր-2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36.75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06/07-03/08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Լալի խոզանոց-1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108.28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04/08-27/09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54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67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0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Պաժառնի-1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50.74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01/05-20/05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Պաժառնի-2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74.32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21/05-20/06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16/20/10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13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Լալի խոզանոց-1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108.28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10/09-05/10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Զովունի-1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92.96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21/06-15/08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Գարիներ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117.32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16/08-09/09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67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0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01/04-01/05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7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Թեք դոշեր-1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26.78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05/11-10/12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Թեք դոշեր-2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24.11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02/11-04/11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Պաժառնի-1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50.74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02/05-01/06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Արմինի տարածք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34.76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02/06-18/07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Պաժառնի-2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74.32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19/07-14/09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56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Արևկող-2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112.79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15/09-01/11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BE670B" w:rsidRPr="00AF4210" w:rsidRDefault="00BE670B" w:rsidP="00BE670B">
      <w:pPr>
        <w:rPr>
          <w:rFonts w:ascii="Sylfaen" w:hAnsi="Sylfaen"/>
          <w:sz w:val="16"/>
          <w:szCs w:val="16"/>
        </w:rPr>
      </w:pPr>
      <w:r w:rsidRPr="00AF4210">
        <w:rPr>
          <w:rFonts w:ascii="Sylfaen" w:hAnsi="Sylfaen"/>
          <w:b/>
          <w:sz w:val="16"/>
          <w:szCs w:val="16"/>
        </w:rPr>
        <w:t>Ծանոթություն</w:t>
      </w:r>
      <w:r w:rsidRPr="00AF4210">
        <w:rPr>
          <w:rFonts w:ascii="Sylfaen" w:hAnsi="Sylfaen"/>
          <w:sz w:val="16"/>
          <w:szCs w:val="16"/>
        </w:rPr>
        <w:t>, ՈՒ- ուշ ժամկետում արածեցում:</w:t>
      </w:r>
    </w:p>
    <w:p w:rsidR="00BE670B" w:rsidRPr="00AF4210" w:rsidRDefault="00BE670B" w:rsidP="00BE670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FF0000"/>
          <w:sz w:val="16"/>
          <w:szCs w:val="16"/>
          <w:lang w:val="fr-FR"/>
        </w:rPr>
      </w:pPr>
      <w:r w:rsidRPr="00AF4210">
        <w:rPr>
          <w:rFonts w:ascii="Sylfaen" w:hAnsi="Sylfaen"/>
          <w:color w:val="FF0000"/>
          <w:sz w:val="16"/>
          <w:szCs w:val="16"/>
          <w:lang w:val="fr-FR"/>
        </w:rPr>
        <w:br w:type="page"/>
      </w:r>
    </w:p>
    <w:p w:rsidR="00BE670B" w:rsidRPr="00AF4210" w:rsidRDefault="00BE670B" w:rsidP="00BE670B">
      <w:pPr>
        <w:tabs>
          <w:tab w:val="left" w:pos="360"/>
        </w:tabs>
        <w:spacing w:line="360" w:lineRule="auto"/>
        <w:rPr>
          <w:rFonts w:ascii="Sylfaen" w:hAnsi="Sylfaen" w:cs="Sylfaen"/>
          <w:color w:val="auto"/>
          <w:sz w:val="16"/>
          <w:szCs w:val="16"/>
          <w:lang w:val="fr-FR"/>
        </w:rPr>
      </w:pPr>
      <w:r w:rsidRPr="00AF4210">
        <w:rPr>
          <w:rFonts w:ascii="Sylfaen" w:hAnsi="Sylfaen"/>
          <w:color w:val="FF0000"/>
          <w:sz w:val="16"/>
          <w:szCs w:val="16"/>
          <w:lang w:val="fr-FR"/>
        </w:rPr>
        <w:lastRenderedPageBreak/>
        <w:t xml:space="preserve">                                                                                                                  </w:t>
      </w:r>
      <w:r w:rsidRPr="00AF4210">
        <w:rPr>
          <w:rFonts w:ascii="Sylfaen" w:hAnsi="Sylfaen" w:cs="Sylfaen"/>
          <w:color w:val="auto"/>
          <w:sz w:val="16"/>
          <w:szCs w:val="16"/>
        </w:rPr>
        <w:t>Աղյուսակ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AF4210">
        <w:rPr>
          <w:rFonts w:ascii="Sylfaen" w:hAnsi="Sylfaen" w:cs="Sylfaen"/>
          <w:color w:val="auto"/>
          <w:sz w:val="16"/>
          <w:szCs w:val="16"/>
        </w:rPr>
        <w:t>բ</w:t>
      </w:r>
    </w:p>
    <w:p w:rsidR="00BE670B" w:rsidRPr="00AF4210" w:rsidRDefault="00BE670B" w:rsidP="00BE670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AF4210">
        <w:rPr>
          <w:rFonts w:ascii="Sylfaen" w:hAnsi="Sylfaen"/>
          <w:bCs w:val="0"/>
          <w:color w:val="auto"/>
          <w:spacing w:val="0"/>
          <w:sz w:val="16"/>
          <w:szCs w:val="16"/>
        </w:rPr>
        <w:t>Հորբատեղ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ԽԵԿ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4210">
        <w:rPr>
          <w:rFonts w:ascii="Sylfaen" w:hAnsi="Sylfaen" w:cs="Sylfaen"/>
          <w:color w:val="auto"/>
          <w:sz w:val="16"/>
          <w:szCs w:val="16"/>
        </w:rPr>
        <w:t>ի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և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ՄԵԿ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AF4210">
        <w:rPr>
          <w:rFonts w:ascii="Sylfaen" w:hAnsi="Sylfaen" w:cs="Sylfaen"/>
          <w:color w:val="auto"/>
          <w:sz w:val="16"/>
          <w:szCs w:val="16"/>
        </w:rPr>
        <w:t>ի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արածեցման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AF4210">
        <w:rPr>
          <w:rFonts w:ascii="Sylfaen" w:hAnsi="Sylfaen" w:cs="Sylfaen"/>
          <w:color w:val="auto"/>
          <w:sz w:val="16"/>
          <w:szCs w:val="16"/>
        </w:rPr>
        <w:t>գրաֆիկ</w:t>
      </w:r>
      <w:r w:rsidRPr="00AF4210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BE670B" w:rsidRPr="00AF4210" w:rsidRDefault="00BE670B" w:rsidP="00BE670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AF4210">
        <w:rPr>
          <w:rFonts w:ascii="Sylfaen" w:hAnsi="Sylfaen"/>
          <w:color w:val="auto"/>
          <w:sz w:val="16"/>
          <w:szCs w:val="16"/>
          <w:lang w:val="fr-FR"/>
        </w:rPr>
        <w:t xml:space="preserve">(2-րդ </w:t>
      </w:r>
      <w:r w:rsidRPr="00AF4210">
        <w:rPr>
          <w:rFonts w:ascii="Sylfaen" w:hAnsi="Sylfaen"/>
          <w:color w:val="auto"/>
          <w:sz w:val="16"/>
          <w:szCs w:val="16"/>
        </w:rPr>
        <w:t>տարի</w:t>
      </w:r>
      <w:r w:rsidRPr="00AF4210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721"/>
        <w:gridCol w:w="2168"/>
        <w:gridCol w:w="990"/>
        <w:gridCol w:w="1440"/>
        <w:gridCol w:w="1440"/>
        <w:gridCol w:w="1440"/>
        <w:gridCol w:w="720"/>
        <w:gridCol w:w="630"/>
        <w:gridCol w:w="486"/>
      </w:tblGrid>
      <w:tr w:rsidR="00BE670B" w:rsidRPr="00AF4210" w:rsidTr="00BE670B">
        <w:trPr>
          <w:trHeight w:val="1173"/>
        </w:trPr>
        <w:tc>
          <w:tcPr>
            <w:tcW w:w="3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639"/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ռո</w:t>
            </w:r>
            <w:r w:rsidRPr="00AF4210">
              <w:rPr>
                <w:rFonts w:ascii="Sylfaen" w:hAnsi="Sylfaen"/>
                <w:sz w:val="16"/>
                <w:szCs w:val="16"/>
              </w:rPr>
              <w:softHyphen/>
            </w:r>
            <w:r w:rsidRPr="00AF4210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AF4210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AF4210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BE670B" w:rsidRPr="00AF4210" w:rsidTr="00BE670B">
        <w:trPr>
          <w:trHeight w:val="5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AF4210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AF4210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BE670B" w:rsidRPr="00AF4210" w:rsidTr="00BE670B">
        <w:trPr>
          <w:trHeight w:val="5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8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Կարմրահողեր-1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AF4210">
              <w:rPr>
                <w:rFonts w:ascii="Sylfaen" w:hAnsi="Sylfaen" w:cs="Sylfaen"/>
                <w:sz w:val="16"/>
                <w:szCs w:val="16"/>
              </w:rPr>
              <w:t>50.56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01/05-08/06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0B" w:rsidRPr="00AF4210" w:rsidRDefault="00BE670B">
            <w:pPr>
              <w:ind w:left="-55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AF4210">
              <w:rPr>
                <w:rFonts w:ascii="Sylfaen" w:hAnsi="Sylfaen"/>
                <w:sz w:val="16"/>
                <w:szCs w:val="16"/>
                <w:lang w:val="fr-FR"/>
              </w:rPr>
              <w:t>3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10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Արևկող-1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99.6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09-23/06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21/10-10/11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Արևկող-2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112.79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24/06-05/07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28/09-20/10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9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Կարմրահողեր-2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36.75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06/07-03/08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Լալի խոզանոց-1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108.28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04/08-27/09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54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Պաժառնի-2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74.32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01/05-31/05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26/10-10/11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19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Պաժառնի-1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50.74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16/09-25/10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Լալի խոզանոց-1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108.28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01/06-25/06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Զովունի-1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92.96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26/06-20/08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55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Գարիներ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117.32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21/08-15/09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16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Թեք դոշեր-1</w:t>
            </w:r>
          </w:p>
        </w:tc>
        <w:tc>
          <w:tcPr>
            <w:tcW w:w="9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26.78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01/04-05/04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36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7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Թեք դոշեր-2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24.11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06/05-08/06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Արմինի տարածք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34.76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09/06-25/07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Պաժառնի-2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74.32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26/07-20/09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56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17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Արևկող-2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112.79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21/09-08/11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BE670B" w:rsidRPr="00AF4210" w:rsidTr="00BE670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Այլ հողատեսքերի բուսածածկ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09/11-10/12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AF4210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0B" w:rsidRPr="00AF4210" w:rsidRDefault="00BE670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AF4210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</w:tbl>
    <w:p w:rsidR="00BE670B" w:rsidRPr="00AF4210" w:rsidRDefault="00BE670B" w:rsidP="00BE670B">
      <w:pPr>
        <w:rPr>
          <w:rFonts w:ascii="Sylfaen" w:hAnsi="Sylfaen"/>
          <w:sz w:val="16"/>
          <w:szCs w:val="16"/>
        </w:rPr>
      </w:pPr>
      <w:r w:rsidRPr="00AF4210">
        <w:rPr>
          <w:rFonts w:ascii="Sylfaen" w:hAnsi="Sylfaen"/>
          <w:b/>
          <w:sz w:val="16"/>
          <w:szCs w:val="16"/>
        </w:rPr>
        <w:t>Ծանոթություն</w:t>
      </w:r>
      <w:r w:rsidRPr="00AF4210">
        <w:rPr>
          <w:rFonts w:ascii="Sylfaen" w:hAnsi="Sylfaen"/>
          <w:sz w:val="16"/>
          <w:szCs w:val="16"/>
        </w:rPr>
        <w:t>, ՈՒ- ուշ ժամկետում արածեցում:</w:t>
      </w:r>
    </w:p>
    <w:p w:rsidR="00826DE4" w:rsidRPr="00AF4210" w:rsidRDefault="00826DE4">
      <w:pPr>
        <w:rPr>
          <w:sz w:val="16"/>
          <w:szCs w:val="16"/>
        </w:rPr>
      </w:pPr>
    </w:p>
    <w:sectPr w:rsidR="00826DE4" w:rsidRPr="00AF4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65AD619B"/>
    <w:multiLevelType w:val="hybridMultilevel"/>
    <w:tmpl w:val="00CE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18"/>
    <w:rsid w:val="00826DE4"/>
    <w:rsid w:val="00AF4210"/>
    <w:rsid w:val="00BE670B"/>
    <w:rsid w:val="00EE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70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E670B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70B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70B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E670B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BE670B"/>
    <w:rPr>
      <w:color w:val="0000FF"/>
      <w:u w:val="single"/>
    </w:rPr>
  </w:style>
  <w:style w:type="character" w:styleId="a4">
    <w:name w:val="FollowedHyperlink"/>
    <w:semiHidden/>
    <w:unhideWhenUsed/>
    <w:rsid w:val="00BE670B"/>
    <w:rPr>
      <w:color w:val="800080"/>
      <w:u w:val="single"/>
    </w:rPr>
  </w:style>
  <w:style w:type="paragraph" w:styleId="a5">
    <w:name w:val="Normal (Web)"/>
    <w:basedOn w:val="a"/>
    <w:semiHidden/>
    <w:unhideWhenUsed/>
    <w:rsid w:val="00BE670B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E670B"/>
    <w:pPr>
      <w:tabs>
        <w:tab w:val="left" w:pos="660"/>
        <w:tab w:val="right" w:leader="dot" w:pos="981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E670B"/>
    <w:pPr>
      <w:tabs>
        <w:tab w:val="right" w:leader="dot" w:pos="9810"/>
      </w:tabs>
      <w:spacing w:line="360" w:lineRule="auto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E670B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BE670B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BE670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BE670B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BE670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BE670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BE670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BE670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E670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BE670B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BE670B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BE670B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BE670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BE670B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BE670B"/>
    <w:rPr>
      <w:b/>
    </w:rPr>
  </w:style>
  <w:style w:type="character" w:customStyle="1" w:styleId="af4">
    <w:name w:val="Тема примечания Знак"/>
    <w:basedOn w:val="a9"/>
    <w:link w:val="af3"/>
    <w:semiHidden/>
    <w:rsid w:val="00BE670B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BE670B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BE670B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BE670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BE670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BE670B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BE670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BE670B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BE670B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BE670B"/>
    <w:rPr>
      <w:vertAlign w:val="superscript"/>
    </w:rPr>
  </w:style>
  <w:style w:type="character" w:styleId="afc">
    <w:name w:val="annotation reference"/>
    <w:semiHidden/>
    <w:unhideWhenUsed/>
    <w:rsid w:val="00BE670B"/>
    <w:rPr>
      <w:sz w:val="16"/>
      <w:szCs w:val="16"/>
    </w:rPr>
  </w:style>
  <w:style w:type="character" w:customStyle="1" w:styleId="apple-converted-space">
    <w:name w:val="apple-converted-space"/>
    <w:basedOn w:val="a0"/>
    <w:rsid w:val="00BE670B"/>
  </w:style>
  <w:style w:type="character" w:customStyle="1" w:styleId="apple-style-span">
    <w:name w:val="apple-style-span"/>
    <w:basedOn w:val="a0"/>
    <w:rsid w:val="00BE670B"/>
  </w:style>
  <w:style w:type="character" w:customStyle="1" w:styleId="12">
    <w:name w:val="Тема примечания Знак1"/>
    <w:basedOn w:val="a9"/>
    <w:semiHidden/>
    <w:rsid w:val="00BE670B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BE670B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BE67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70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E670B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670B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670B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E670B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BE670B"/>
    <w:rPr>
      <w:color w:val="0000FF"/>
      <w:u w:val="single"/>
    </w:rPr>
  </w:style>
  <w:style w:type="character" w:styleId="a4">
    <w:name w:val="FollowedHyperlink"/>
    <w:semiHidden/>
    <w:unhideWhenUsed/>
    <w:rsid w:val="00BE670B"/>
    <w:rPr>
      <w:color w:val="800080"/>
      <w:u w:val="single"/>
    </w:rPr>
  </w:style>
  <w:style w:type="paragraph" w:styleId="a5">
    <w:name w:val="Normal (Web)"/>
    <w:basedOn w:val="a"/>
    <w:semiHidden/>
    <w:unhideWhenUsed/>
    <w:rsid w:val="00BE670B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E670B"/>
    <w:pPr>
      <w:tabs>
        <w:tab w:val="left" w:pos="660"/>
        <w:tab w:val="right" w:leader="dot" w:pos="981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E670B"/>
    <w:pPr>
      <w:tabs>
        <w:tab w:val="right" w:leader="dot" w:pos="9810"/>
      </w:tabs>
      <w:spacing w:line="360" w:lineRule="auto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E670B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BE670B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BE670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BE670B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BE670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BE670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BE670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BE670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E670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BE670B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BE670B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BE670B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BE670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BE670B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BE670B"/>
    <w:rPr>
      <w:b/>
    </w:rPr>
  </w:style>
  <w:style w:type="character" w:customStyle="1" w:styleId="af4">
    <w:name w:val="Тема примечания Знак"/>
    <w:basedOn w:val="a9"/>
    <w:link w:val="af3"/>
    <w:semiHidden/>
    <w:rsid w:val="00BE670B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BE670B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BE670B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BE670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BE670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BE670B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BE670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BE670B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BE670B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BE670B"/>
    <w:rPr>
      <w:vertAlign w:val="superscript"/>
    </w:rPr>
  </w:style>
  <w:style w:type="character" w:styleId="afc">
    <w:name w:val="annotation reference"/>
    <w:semiHidden/>
    <w:unhideWhenUsed/>
    <w:rsid w:val="00BE670B"/>
    <w:rPr>
      <w:sz w:val="16"/>
      <w:szCs w:val="16"/>
    </w:rPr>
  </w:style>
  <w:style w:type="character" w:customStyle="1" w:styleId="apple-converted-space">
    <w:name w:val="apple-converted-space"/>
    <w:basedOn w:val="a0"/>
    <w:rsid w:val="00BE670B"/>
  </w:style>
  <w:style w:type="character" w:customStyle="1" w:styleId="apple-style-span">
    <w:name w:val="apple-style-span"/>
    <w:basedOn w:val="a0"/>
    <w:rsid w:val="00BE670B"/>
  </w:style>
  <w:style w:type="character" w:customStyle="1" w:styleId="12">
    <w:name w:val="Тема примечания Знак1"/>
    <w:basedOn w:val="a9"/>
    <w:semiHidden/>
    <w:rsid w:val="00BE670B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BE670B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BE67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5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888\Downloads\6.%20Horbategh%20-%20&#1344;&#1400;&#1408;&#1378;&#1377;&#1407;&#1381;&#1394;%202019%20&#1343;&#1354;.doc" TargetMode="External"/><Relationship Id="rId18" Type="http://schemas.openxmlformats.org/officeDocument/2006/relationships/hyperlink" Target="file:///C:\Users\888\Downloads\6.%20Horbategh%20-%20&#1344;&#1400;&#1408;&#1378;&#1377;&#1407;&#1381;&#1394;%202019%20&#1343;&#1354;.doc" TargetMode="External"/><Relationship Id="rId26" Type="http://schemas.openxmlformats.org/officeDocument/2006/relationships/hyperlink" Target="https://ru.wikipedia.org/wiki/L.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6.%20Horbategh%20-%20&#1344;&#1400;&#1408;&#1378;&#1377;&#1407;&#1381;&#1394;%202019%20&#1343;&#1354;.doc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C:\Users\888\Downloads\6.%20Horbategh%20-%20&#1344;&#1400;&#1408;&#1378;&#1377;&#1407;&#1381;&#1394;%202019%20&#1343;&#1354;.doc" TargetMode="External"/><Relationship Id="rId17" Type="http://schemas.openxmlformats.org/officeDocument/2006/relationships/hyperlink" Target="file:///C:\Users\888\Downloads\6.%20Horbategh%20-%20&#1344;&#1400;&#1408;&#1378;&#1377;&#1407;&#1381;&#1394;%202019%20&#1343;&#1354;.doc" TargetMode="External"/><Relationship Id="rId25" Type="http://schemas.openxmlformats.org/officeDocument/2006/relationships/hyperlink" Target="file:///C:\Users\888\Downloads\6.%20Horbategh%20-%20&#1344;&#1400;&#1408;&#1378;&#1377;&#1407;&#1381;&#1394;%202019%20&#1343;&#1354;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6.%20Horbategh%20-%20&#1344;&#1400;&#1408;&#1378;&#1377;&#1407;&#1381;&#1394;%202019%20&#1343;&#1354;.doc" TargetMode="External"/><Relationship Id="rId20" Type="http://schemas.openxmlformats.org/officeDocument/2006/relationships/hyperlink" Target="file:///C:\Users\888\Downloads\6.%20Horbategh%20-%20&#1344;&#1400;&#1408;&#1378;&#1377;&#1407;&#1381;&#1394;%202019%20&#1343;&#1354;.do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6.%20Horbategh%20-%20&#1344;&#1400;&#1408;&#1378;&#1377;&#1407;&#1381;&#1394;%202019%20&#1343;&#1354;.doc" TargetMode="External"/><Relationship Id="rId24" Type="http://schemas.openxmlformats.org/officeDocument/2006/relationships/hyperlink" Target="file:///C:\Users\888\Downloads\6.%20Horbategh%20-%20&#1344;&#1400;&#1408;&#1378;&#1377;&#1407;&#1381;&#1394;%202019%20&#1343;&#1354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6.%20Horbategh%20-%20&#1344;&#1400;&#1408;&#1378;&#1377;&#1407;&#1381;&#1394;%202019%20&#1343;&#1354;.doc" TargetMode="External"/><Relationship Id="rId23" Type="http://schemas.openxmlformats.org/officeDocument/2006/relationships/hyperlink" Target="file:///C:\Users\888\Downloads\6.%20Horbategh%20-%20&#1344;&#1400;&#1408;&#1378;&#1377;&#1407;&#1381;&#1394;%202019%20&#1343;&#1354;.doc" TargetMode="External"/><Relationship Id="rId28" Type="http://schemas.openxmlformats.org/officeDocument/2006/relationships/image" Target="media/image5.jpeg"/><Relationship Id="rId10" Type="http://schemas.openxmlformats.org/officeDocument/2006/relationships/hyperlink" Target="file:///C:\Users\888\Downloads\6.%20Horbategh%20-%20&#1344;&#1400;&#1408;&#1378;&#1377;&#1407;&#1381;&#1394;%202019%20&#1343;&#1354;.doc" TargetMode="External"/><Relationship Id="rId19" Type="http://schemas.openxmlformats.org/officeDocument/2006/relationships/hyperlink" Target="file:///C:\Users\888\Downloads\6.%20Horbategh%20-%20&#1344;&#1400;&#1408;&#1378;&#1377;&#1407;&#1381;&#1394;%202019%20&#1343;&#1354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6.%20Horbategh%20-%20&#1344;&#1400;&#1408;&#1378;&#1377;&#1407;&#1381;&#1394;%202019%20&#1343;&#1354;.doc" TargetMode="External"/><Relationship Id="rId14" Type="http://schemas.openxmlformats.org/officeDocument/2006/relationships/hyperlink" Target="file:///C:\Users\888\Downloads\6.%20Horbategh%20-%20&#1344;&#1400;&#1408;&#1378;&#1377;&#1407;&#1381;&#1394;%202019%20&#1343;&#1354;.doc" TargetMode="External"/><Relationship Id="rId22" Type="http://schemas.openxmlformats.org/officeDocument/2006/relationships/hyperlink" Target="file:///C:\Users\888\Downloads\6.%20Horbategh%20-%20&#1344;&#1400;&#1408;&#1378;&#1377;&#1407;&#1381;&#1394;%202019%20&#1343;&#1354;.doc" TargetMode="External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8353</Words>
  <Characters>47618</Characters>
  <Application>Microsoft Office Word</Application>
  <DocSecurity>0</DocSecurity>
  <Lines>396</Lines>
  <Paragraphs>111</Paragraphs>
  <ScaleCrop>false</ScaleCrop>
  <Company>Home</Company>
  <LinksUpToDate>false</LinksUpToDate>
  <CharactersWithSpaces>55860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cp:lastPrinted>2020-02-17T14:42:00Z</cp:lastPrinted>
  <dcterms:created xsi:type="dcterms:W3CDTF">2020-02-14T14:26:00Z</dcterms:created>
  <dcterms:modified xsi:type="dcterms:W3CDTF">2020-02-17T14:42:00Z</dcterms:modified>
</cp:coreProperties>
</file>