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C7B" w:rsidRPr="000F536C" w:rsidRDefault="002C3C7B" w:rsidP="002C3C7B">
      <w:pPr>
        <w:pBdr>
          <w:bottom w:val="single" w:sz="4" w:space="1" w:color="auto"/>
        </w:pBdr>
        <w:spacing w:line="360" w:lineRule="auto"/>
        <w:rPr>
          <w:rFonts w:ascii="Sylfaen" w:hAnsi="Sylfaen"/>
          <w:b/>
          <w:caps/>
          <w:color w:val="auto"/>
          <w:sz w:val="16"/>
          <w:szCs w:val="16"/>
        </w:rPr>
      </w:pPr>
      <w:r w:rsidRPr="000F536C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29879F88" wp14:editId="52FFE931">
            <wp:extent cx="1924050" cy="866775"/>
            <wp:effectExtent l="0" t="0" r="0" b="9525"/>
            <wp:docPr id="5" name="Рисунок 5" descr="SDC_RGB_hoch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_RGB_hoch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36C">
        <w:rPr>
          <w:rFonts w:ascii="Sylfaen" w:hAnsi="Sylfaen"/>
          <w:b/>
          <w:caps/>
          <w:color w:val="auto"/>
          <w:sz w:val="16"/>
          <w:szCs w:val="16"/>
        </w:rPr>
        <w:t xml:space="preserve">                                 </w:t>
      </w:r>
      <w:r w:rsidRPr="000F536C">
        <w:rPr>
          <w:rFonts w:ascii="Sylfaen" w:hAnsi="Sylfaen"/>
          <w:b/>
          <w:caps/>
          <w:noProof/>
          <w:color w:val="auto"/>
          <w:sz w:val="16"/>
          <w:szCs w:val="16"/>
          <w:lang w:val="ru-RU" w:eastAsia="ru-RU"/>
        </w:rPr>
        <w:drawing>
          <wp:inline distT="0" distB="0" distL="0" distR="0" wp14:anchorId="3EA1CCE6" wp14:editId="603E7410">
            <wp:extent cx="2105025" cy="866775"/>
            <wp:effectExtent l="0" t="0" r="9525" b="9525"/>
            <wp:docPr id="4" name="Рисунок 4" descr="SDA_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A_N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0F536C">
        <w:rPr>
          <w:rFonts w:ascii="Sylfaen" w:hAnsi="Sylfaen" w:cs="Sylfaen"/>
          <w:b/>
          <w:color w:val="auto"/>
          <w:sz w:val="16"/>
          <w:szCs w:val="16"/>
        </w:rPr>
        <w:t xml:space="preserve">ԱՆԱՍՆԱՊԱՀՈՒԹՅԱՆ ԶԱՐԳԱՑՈՒՄ ՀԱՅԱՍՏԱՆԻ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auto"/>
          <w:sz w:val="16"/>
          <w:szCs w:val="16"/>
        </w:rPr>
      </w:pPr>
      <w:r w:rsidRPr="000F536C">
        <w:rPr>
          <w:rFonts w:ascii="Sylfaen" w:hAnsi="Sylfaen" w:cs="Sylfaen"/>
          <w:b/>
          <w:color w:val="auto"/>
          <w:sz w:val="16"/>
          <w:szCs w:val="16"/>
        </w:rPr>
        <w:t xml:space="preserve">ՀԱՐԱՎՈՒՄ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0F536C">
        <w:rPr>
          <w:rFonts w:ascii="Sylfaen" w:hAnsi="Sylfaen"/>
          <w:b/>
          <w:caps/>
          <w:noProof/>
          <w:sz w:val="16"/>
          <w:szCs w:val="16"/>
          <w:lang w:val="ru-RU" w:eastAsia="ru-RU"/>
        </w:rPr>
        <w:drawing>
          <wp:inline distT="0" distB="0" distL="0" distR="0" wp14:anchorId="56F761DA" wp14:editId="6B71D271">
            <wp:extent cx="5848350" cy="3705225"/>
            <wp:effectExtent l="0" t="0" r="0" b="9525"/>
            <wp:docPr id="3" name="Рисунок 3" descr="DSC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  <w:r w:rsidRPr="000F536C">
        <w:rPr>
          <w:rFonts w:ascii="Sylfaen" w:hAnsi="Sylfaen"/>
          <w:b/>
          <w:caps/>
          <w:color w:val="auto"/>
          <w:sz w:val="16"/>
          <w:szCs w:val="16"/>
        </w:rPr>
        <w:t xml:space="preserve">ԵՂԵԳԻՍ ՀԱՄԱՅՆՔԻ Եղեգիս ԲՆԱԿԱՎԱՅՐԻ ԱՐՈՏԱՎԱՅՐԵՐԻ ԿԱՌԱՎԱՐՄԱՆ ԵՎ ԱՆԱՍՆԱՊԱՀՈՒԹՅԱՆ ԶԱՐԳԱՑՄԱՆ ՊԼԱՆ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aps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/>
          <w:color w:val="auto"/>
          <w:sz w:val="16"/>
          <w:szCs w:val="16"/>
        </w:rPr>
      </w:pPr>
    </w:p>
    <w:p w:rsidR="002C3C7B" w:rsidRPr="000F536C" w:rsidRDefault="002C3C7B" w:rsidP="002C3C7B">
      <w:pPr>
        <w:spacing w:line="360" w:lineRule="auto"/>
        <w:rPr>
          <w:rFonts w:ascii="Sylfaen" w:hAnsi="Sylfaen"/>
          <w:b/>
          <w:color w:val="auto"/>
          <w:sz w:val="16"/>
          <w:szCs w:val="16"/>
        </w:rPr>
      </w:pPr>
      <w:r w:rsidRPr="000F536C">
        <w:rPr>
          <w:rFonts w:ascii="Sylfaen" w:hAnsi="Sylfaen"/>
          <w:b/>
          <w:color w:val="auto"/>
          <w:sz w:val="16"/>
          <w:szCs w:val="16"/>
        </w:rPr>
        <w:t xml:space="preserve">                                                    2019թ.</w:t>
      </w:r>
    </w:p>
    <w:p w:rsidR="002C3C7B" w:rsidRPr="000F536C" w:rsidRDefault="002C3C7B" w:rsidP="002C3C7B">
      <w:pPr>
        <w:spacing w:line="360" w:lineRule="auto"/>
        <w:rPr>
          <w:rFonts w:ascii="Sylfaen" w:hAnsi="Sylfaen"/>
          <w:b/>
          <w:color w:val="auto"/>
          <w:sz w:val="16"/>
          <w:szCs w:val="16"/>
        </w:rPr>
        <w:sectPr w:rsidR="002C3C7B" w:rsidRPr="000F536C">
          <w:pgSz w:w="11907" w:h="16840"/>
          <w:pgMar w:top="1440" w:right="1440" w:bottom="990" w:left="1440" w:header="709" w:footer="576" w:gutter="0"/>
          <w:pgNumType w:start="0" w:chapStyle="1"/>
          <w:cols w:space="720"/>
        </w:sectPr>
      </w:pPr>
    </w:p>
    <w:p w:rsidR="002C3C7B" w:rsidRPr="000F536C" w:rsidRDefault="002C3C7B" w:rsidP="002C3C7B">
      <w:pPr>
        <w:jc w:val="center"/>
        <w:rPr>
          <w:b/>
          <w:sz w:val="16"/>
          <w:szCs w:val="16"/>
        </w:rPr>
      </w:pPr>
      <w:r w:rsidRPr="000F536C">
        <w:rPr>
          <w:rFonts w:ascii="Sylfaen" w:hAnsi="Sylfaen" w:cs="Sylfaen"/>
          <w:b/>
          <w:sz w:val="16"/>
          <w:szCs w:val="16"/>
        </w:rPr>
        <w:lastRenderedPageBreak/>
        <w:t>Բովանդակություն</w:t>
      </w:r>
    </w:p>
    <w:p w:rsidR="002C3C7B" w:rsidRPr="000F536C" w:rsidRDefault="002C3C7B" w:rsidP="002C3C7B">
      <w:pPr>
        <w:spacing w:line="360" w:lineRule="auto"/>
        <w:rPr>
          <w:rFonts w:ascii="Sylfaen" w:hAnsi="Sylfaen"/>
          <w:color w:val="auto"/>
          <w:sz w:val="16"/>
          <w:szCs w:val="16"/>
        </w:rPr>
      </w:pPr>
    </w:p>
    <w:p w:rsidR="002C3C7B" w:rsidRPr="000F536C" w:rsidRDefault="002C3C7B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r w:rsidRPr="000F536C">
        <w:rPr>
          <w:sz w:val="16"/>
          <w:szCs w:val="16"/>
        </w:rPr>
        <w:fldChar w:fldCharType="begin"/>
      </w:r>
      <w:r w:rsidRPr="000F536C">
        <w:rPr>
          <w:sz w:val="16"/>
          <w:szCs w:val="16"/>
        </w:rPr>
        <w:instrText xml:space="preserve"> TOC \o "1-3" \h \z \u </w:instrText>
      </w:r>
      <w:r w:rsidRPr="000F536C">
        <w:rPr>
          <w:sz w:val="16"/>
          <w:szCs w:val="16"/>
        </w:rPr>
        <w:fldChar w:fldCharType="separate"/>
      </w:r>
      <w:hyperlink r:id="rId9" w:anchor="_Toc17796543" w:history="1">
        <w:r w:rsidRPr="000F536C">
          <w:rPr>
            <w:rStyle w:val="a3"/>
            <w:sz w:val="16"/>
            <w:szCs w:val="16"/>
          </w:rPr>
          <w:t>1. Ներածություն</w:t>
        </w:r>
        <w:r w:rsidRPr="000F536C">
          <w:rPr>
            <w:rStyle w:val="a3"/>
            <w:webHidden/>
            <w:sz w:val="16"/>
            <w:szCs w:val="16"/>
          </w:rPr>
          <w:tab/>
        </w:r>
        <w:r w:rsidRPr="000F536C">
          <w:rPr>
            <w:rStyle w:val="a3"/>
            <w:webHidden/>
            <w:sz w:val="16"/>
            <w:szCs w:val="16"/>
          </w:rPr>
          <w:fldChar w:fldCharType="begin"/>
        </w:r>
        <w:r w:rsidRPr="000F536C">
          <w:rPr>
            <w:rStyle w:val="a3"/>
            <w:webHidden/>
            <w:sz w:val="16"/>
            <w:szCs w:val="16"/>
          </w:rPr>
          <w:instrText xml:space="preserve"> PAGEREF _Toc17796543 \h </w:instrText>
        </w:r>
        <w:r w:rsidRPr="000F536C">
          <w:rPr>
            <w:rStyle w:val="a3"/>
            <w:webHidden/>
            <w:sz w:val="16"/>
            <w:szCs w:val="16"/>
          </w:rPr>
        </w:r>
        <w:r w:rsidRPr="000F536C">
          <w:rPr>
            <w:rStyle w:val="a3"/>
            <w:webHidden/>
            <w:sz w:val="16"/>
            <w:szCs w:val="16"/>
          </w:rPr>
          <w:fldChar w:fldCharType="separate"/>
        </w:r>
        <w:r w:rsidR="000F536C">
          <w:rPr>
            <w:rStyle w:val="a3"/>
            <w:webHidden/>
            <w:sz w:val="16"/>
            <w:szCs w:val="16"/>
          </w:rPr>
          <w:t>2</w:t>
        </w:r>
        <w:r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0" w:anchor="_Toc17796544" w:history="1">
        <w:r w:rsidR="002C3C7B" w:rsidRPr="000F536C">
          <w:rPr>
            <w:rStyle w:val="a3"/>
            <w:sz w:val="16"/>
            <w:szCs w:val="16"/>
          </w:rPr>
          <w:t>2. Եղեգիս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բնակավայրի գյուղատնտեսական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նշանակության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հողերի կառուցվածքը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և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սեփականության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ձևերը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_Toc17796544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2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1" w:anchor="_Toc17796545" w:history="1">
        <w:r w:rsidR="002C3C7B" w:rsidRPr="000F536C">
          <w:rPr>
            <w:rStyle w:val="a3"/>
            <w:sz w:val="16"/>
            <w:szCs w:val="16"/>
          </w:rPr>
          <w:t>3. Բնակավայրի անասնագլխաքանակն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ըստ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տնտեսությունների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և անասնակերի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պահանջը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_Toc17796545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2" w:anchor="_Toc17796546" w:history="1">
        <w:r w:rsidR="002C3C7B" w:rsidRPr="000F536C">
          <w:rPr>
            <w:rStyle w:val="a3"/>
            <w:sz w:val="16"/>
            <w:szCs w:val="16"/>
          </w:rPr>
          <w:t>3.1 Անասնակերի պահանջի հաշվարկ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_Toc17796546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3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3" w:anchor="_Toc17796547" w:history="1">
        <w:r w:rsidR="002C3C7B" w:rsidRPr="000F536C">
          <w:rPr>
            <w:rStyle w:val="a3"/>
            <w:sz w:val="16"/>
            <w:szCs w:val="16"/>
          </w:rPr>
          <w:t>4. Բնակավայրի ֆիզիկաաշխարհագրական առանձնահատկությունները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_Toc17796547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4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21"/>
        <w:tabs>
          <w:tab w:val="right" w:leader="dot" w:pos="9540"/>
        </w:tabs>
        <w:jc w:val="left"/>
        <w:rPr>
          <w:rFonts w:ascii="Sylfaen" w:hAnsi="Sylfaen"/>
          <w:noProof/>
          <w:sz w:val="16"/>
          <w:szCs w:val="16"/>
        </w:rPr>
      </w:pPr>
      <w:hyperlink r:id="rId14" w:anchor="_Toc17796548" w:history="1"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4.1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Արոտատեղամասերի էկոլոգիական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գնահատում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_Toc17796548 \h </w:instrTex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5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5" w:anchor="_Toc17796549" w:history="1">
        <w:r w:rsidR="002C3C7B" w:rsidRPr="000F536C">
          <w:rPr>
            <w:rStyle w:val="a3"/>
            <w:sz w:val="16"/>
            <w:szCs w:val="16"/>
          </w:rPr>
          <w:t>5. Ընթացիկ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կառավարում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ըստ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գոտու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արոտատեղամասերի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_Toc17796549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7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21"/>
        <w:tabs>
          <w:tab w:val="right" w:leader="dot" w:pos="9540"/>
        </w:tabs>
        <w:jc w:val="left"/>
        <w:rPr>
          <w:rFonts w:ascii="Sylfaen" w:hAnsi="Sylfaen"/>
          <w:noProof/>
          <w:sz w:val="16"/>
          <w:szCs w:val="16"/>
        </w:rPr>
      </w:pPr>
      <w:hyperlink r:id="rId16" w:anchor="_Toc17796550" w:history="1"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5.1.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արոտների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խոտհարքների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բուսածածկն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ու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բերքատվության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ցուցանիշները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_Toc17796550 \h </w:instrTex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8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21"/>
        <w:tabs>
          <w:tab w:val="right" w:leader="dot" w:pos="9540"/>
        </w:tabs>
        <w:jc w:val="left"/>
        <w:rPr>
          <w:rFonts w:ascii="Sylfaen" w:hAnsi="Sylfaen"/>
          <w:noProof/>
          <w:sz w:val="16"/>
          <w:szCs w:val="16"/>
        </w:rPr>
      </w:pPr>
      <w:hyperlink r:id="rId17" w:anchor="_Toc17796551" w:history="1"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5.2.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Արոտավայրերի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կառավարման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անասնապահության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զարգացման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նախադրյալները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_Toc17796551 \h </w:instrTex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9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18" w:anchor="_Toc17796552" w:history="1">
        <w:r w:rsidR="002C3C7B" w:rsidRPr="000F536C">
          <w:rPr>
            <w:rStyle w:val="a3"/>
            <w:sz w:val="16"/>
            <w:szCs w:val="16"/>
          </w:rPr>
          <w:t>6. Չոր կենսազանգվածի կուտակման հնարավորությունն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ըստ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բնակլիմայական գոտիների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_Toc17796552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10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21"/>
        <w:tabs>
          <w:tab w:val="right" w:leader="dot" w:pos="9540"/>
        </w:tabs>
        <w:jc w:val="left"/>
        <w:rPr>
          <w:rFonts w:ascii="Sylfaen" w:hAnsi="Sylfaen"/>
          <w:noProof/>
          <w:sz w:val="16"/>
          <w:szCs w:val="16"/>
        </w:rPr>
      </w:pPr>
      <w:hyperlink r:id="rId19" w:anchor="_Toc17796553" w:history="1"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6.1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Բնակավայրի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կերահանդակներից</w:t>
        </w:r>
        <w:r w:rsidR="002C3C7B" w:rsidRPr="000F536C">
          <w:rPr>
            <w:rStyle w:val="a3"/>
            <w:rFonts w:ascii="Sylfaen" w:hAnsi="Sylfaen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այլընտրանքային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կերապահովմանտարածքներից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ստացվող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չոր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զանգվածի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_Toc17796553 \h </w:instrTex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21"/>
        <w:tabs>
          <w:tab w:val="right" w:leader="dot" w:pos="9540"/>
        </w:tabs>
        <w:jc w:val="left"/>
        <w:rPr>
          <w:rFonts w:ascii="Sylfaen" w:hAnsi="Sylfaen"/>
          <w:noProof/>
          <w:sz w:val="16"/>
          <w:szCs w:val="16"/>
        </w:rPr>
      </w:pPr>
      <w:hyperlink r:id="rId20" w:anchor="_Toc17796554" w:history="1"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և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արածեցման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օրերի</w:t>
        </w:r>
        <w:r w:rsidR="002C3C7B" w:rsidRPr="000F536C">
          <w:rPr>
            <w:rStyle w:val="a3"/>
            <w:rFonts w:ascii="Sylfaen" w:hAnsi="Sylfaen" w:cs="Cambria"/>
            <w:noProof/>
            <w:sz w:val="16"/>
            <w:szCs w:val="16"/>
          </w:rPr>
          <w:t xml:space="preserve"> </w:t>
        </w:r>
        <w:r w:rsidR="002C3C7B" w:rsidRPr="000F536C">
          <w:rPr>
            <w:rStyle w:val="a3"/>
            <w:rFonts w:ascii="Sylfaen" w:hAnsi="Sylfaen" w:cs="Sylfaen"/>
            <w:noProof/>
            <w:sz w:val="16"/>
            <w:szCs w:val="16"/>
          </w:rPr>
          <w:t>քանակը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tab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instrText xml:space="preserve"> PAGEREF _Toc17796554 \h </w:instrTex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separate"/>
        </w:r>
        <w:r>
          <w:rPr>
            <w:rStyle w:val="a3"/>
            <w:rFonts w:ascii="Sylfaen" w:hAnsi="Sylfaen"/>
            <w:noProof/>
            <w:webHidden/>
            <w:sz w:val="16"/>
            <w:szCs w:val="16"/>
          </w:rPr>
          <w:t>10</w:t>
        </w:r>
        <w:r w:rsidR="002C3C7B" w:rsidRPr="000F536C">
          <w:rPr>
            <w:rStyle w:val="a3"/>
            <w:rFonts w:ascii="Sylfaen" w:hAnsi="Sylfaen"/>
            <w:noProof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1" w:anchor="_Toc17796555" w:history="1">
        <w:r w:rsidR="002C3C7B" w:rsidRPr="000F536C">
          <w:rPr>
            <w:rStyle w:val="a3"/>
            <w:sz w:val="16"/>
            <w:szCs w:val="16"/>
          </w:rPr>
          <w:t>6.2. Կենդանիների կերակրման և կերերի հաշվեկշիռ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_Toc17796555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11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2" w:anchor="_Toc17796556" w:history="1">
        <w:r w:rsidR="002C3C7B" w:rsidRPr="000F536C">
          <w:rPr>
            <w:rStyle w:val="a3"/>
            <w:sz w:val="16"/>
            <w:szCs w:val="16"/>
          </w:rPr>
          <w:t>7. Խոշոր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և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մանր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եղջերավոր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կենդանիների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արածեցման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համակարգ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_Toc17796556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12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3" w:anchor="_Toc17796557" w:history="1">
        <w:r w:rsidR="002C3C7B" w:rsidRPr="000F536C">
          <w:rPr>
            <w:rStyle w:val="a3"/>
            <w:sz w:val="16"/>
            <w:szCs w:val="16"/>
          </w:rPr>
          <w:t>8. Մսուրային շրջանում կուտակվող կերեր (խոտի ապահովածությունը)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_Toc17796557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14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4" w:anchor="_Toc17796558" w:history="1">
        <w:r w:rsidR="002C3C7B" w:rsidRPr="000F536C">
          <w:rPr>
            <w:rStyle w:val="a3"/>
            <w:sz w:val="16"/>
            <w:szCs w:val="16"/>
          </w:rPr>
          <w:t>9. Եղեգիս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բնակավայրում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արոտատեղամասերի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բաշխվածության</w:t>
        </w:r>
        <w:r w:rsidR="002C3C7B" w:rsidRPr="000F536C">
          <w:rPr>
            <w:rStyle w:val="a3"/>
            <w:rFonts w:cs="Cambria"/>
            <w:sz w:val="16"/>
            <w:szCs w:val="16"/>
          </w:rPr>
          <w:t xml:space="preserve"> </w:t>
        </w:r>
        <w:r w:rsidR="002C3C7B" w:rsidRPr="000F536C">
          <w:rPr>
            <w:rStyle w:val="a3"/>
            <w:sz w:val="16"/>
            <w:szCs w:val="16"/>
          </w:rPr>
          <w:t>քարտեզ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_Toc17796558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16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eastAsia="Times New Roman" w:cs="Times New Roman"/>
          <w:bCs w:val="0"/>
          <w:spacing w:val="0"/>
          <w:sz w:val="16"/>
          <w:szCs w:val="16"/>
        </w:rPr>
      </w:pPr>
      <w:hyperlink r:id="rId25" w:anchor="_Toc17796559" w:history="1">
        <w:r w:rsidR="002C3C7B" w:rsidRPr="000F536C">
          <w:rPr>
            <w:rStyle w:val="a3"/>
            <w:sz w:val="16"/>
            <w:szCs w:val="16"/>
          </w:rPr>
          <w:t>10. Եղեգիս բնակավայրում արոտատեղամասերի բաշխվածության գոտիականության քարտեզ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_Toc17796559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17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0F536C" w:rsidP="002C3C7B">
      <w:pPr>
        <w:pStyle w:val="11"/>
        <w:tabs>
          <w:tab w:val="right" w:leader="dot" w:pos="9540"/>
        </w:tabs>
        <w:jc w:val="left"/>
        <w:rPr>
          <w:rFonts w:ascii="Calibri" w:eastAsia="Times New Roman" w:hAnsi="Calibri" w:cs="Times New Roman"/>
          <w:bCs w:val="0"/>
          <w:spacing w:val="0"/>
          <w:sz w:val="16"/>
          <w:szCs w:val="16"/>
        </w:rPr>
      </w:pPr>
      <w:hyperlink r:id="rId26" w:anchor="_Toc17796560" w:history="1">
        <w:r w:rsidR="002C3C7B" w:rsidRPr="000F536C">
          <w:rPr>
            <w:rStyle w:val="a3"/>
            <w:sz w:val="16"/>
            <w:szCs w:val="16"/>
            <w:lang w:val="fr-FR"/>
          </w:rPr>
          <w:t xml:space="preserve">11. </w:t>
        </w:r>
        <w:r w:rsidR="002C3C7B" w:rsidRPr="000F536C">
          <w:rPr>
            <w:rStyle w:val="a3"/>
            <w:sz w:val="16"/>
            <w:szCs w:val="16"/>
          </w:rPr>
          <w:t>Եղեգիս</w:t>
        </w:r>
        <w:r w:rsidR="002C3C7B" w:rsidRPr="000F536C">
          <w:rPr>
            <w:rStyle w:val="a3"/>
            <w:sz w:val="16"/>
            <w:szCs w:val="16"/>
            <w:lang w:val="fr-FR"/>
          </w:rPr>
          <w:t xml:space="preserve"> բնակավայրում</w:t>
        </w:r>
        <w:r w:rsidR="002C3C7B" w:rsidRPr="000F536C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2C3C7B" w:rsidRPr="000F536C">
          <w:rPr>
            <w:rStyle w:val="a3"/>
            <w:sz w:val="16"/>
            <w:szCs w:val="16"/>
            <w:lang w:val="fr-FR"/>
          </w:rPr>
          <w:t>արոտատեղամասերի</w:t>
        </w:r>
        <w:r w:rsidR="002C3C7B" w:rsidRPr="000F536C">
          <w:rPr>
            <w:rStyle w:val="a3"/>
            <w:rFonts w:cs="Cambria"/>
            <w:sz w:val="16"/>
            <w:szCs w:val="16"/>
            <w:lang w:val="fr-FR"/>
          </w:rPr>
          <w:t xml:space="preserve"> </w:t>
        </w:r>
        <w:r w:rsidR="002C3C7B" w:rsidRPr="000F536C">
          <w:rPr>
            <w:rStyle w:val="a3"/>
            <w:sz w:val="16"/>
            <w:szCs w:val="16"/>
            <w:lang w:val="fr-FR"/>
          </w:rPr>
          <w:t>արածեցման գրաֆիկ</w:t>
        </w:r>
        <w:r w:rsidR="002C3C7B" w:rsidRPr="000F536C">
          <w:rPr>
            <w:rStyle w:val="a3"/>
            <w:webHidden/>
            <w:sz w:val="16"/>
            <w:szCs w:val="16"/>
          </w:rPr>
          <w:tab/>
        </w:r>
        <w:r w:rsidR="002C3C7B" w:rsidRPr="000F536C">
          <w:rPr>
            <w:rStyle w:val="a3"/>
            <w:webHidden/>
            <w:sz w:val="16"/>
            <w:szCs w:val="16"/>
          </w:rPr>
          <w:fldChar w:fldCharType="begin"/>
        </w:r>
        <w:r w:rsidR="002C3C7B" w:rsidRPr="000F536C">
          <w:rPr>
            <w:rStyle w:val="a3"/>
            <w:webHidden/>
            <w:sz w:val="16"/>
            <w:szCs w:val="16"/>
          </w:rPr>
          <w:instrText xml:space="preserve"> PAGEREF _Toc17796560 \h </w:instrText>
        </w:r>
        <w:r w:rsidR="002C3C7B" w:rsidRPr="000F536C">
          <w:rPr>
            <w:rStyle w:val="a3"/>
            <w:webHidden/>
            <w:sz w:val="16"/>
            <w:szCs w:val="16"/>
          </w:rPr>
        </w:r>
        <w:r w:rsidR="002C3C7B" w:rsidRPr="000F536C">
          <w:rPr>
            <w:rStyle w:val="a3"/>
            <w:webHidden/>
            <w:sz w:val="16"/>
            <w:szCs w:val="16"/>
          </w:rPr>
          <w:fldChar w:fldCharType="separate"/>
        </w:r>
        <w:r>
          <w:rPr>
            <w:rStyle w:val="a3"/>
            <w:webHidden/>
            <w:sz w:val="16"/>
            <w:szCs w:val="16"/>
          </w:rPr>
          <w:t>18</w:t>
        </w:r>
        <w:r w:rsidR="002C3C7B" w:rsidRPr="000F536C">
          <w:rPr>
            <w:rStyle w:val="a3"/>
            <w:webHidden/>
            <w:sz w:val="16"/>
            <w:szCs w:val="16"/>
          </w:rPr>
          <w:fldChar w:fldCharType="end"/>
        </w:r>
      </w:hyperlink>
    </w:p>
    <w:p w:rsidR="002C3C7B" w:rsidRPr="000F536C" w:rsidRDefault="002C3C7B" w:rsidP="002C3C7B">
      <w:pPr>
        <w:spacing w:line="360" w:lineRule="auto"/>
        <w:rPr>
          <w:rFonts w:ascii="Sylfaen" w:hAnsi="Sylfaen"/>
          <w:color w:val="auto"/>
          <w:sz w:val="16"/>
          <w:szCs w:val="16"/>
        </w:rPr>
      </w:pPr>
      <w:r w:rsidRPr="000F536C">
        <w:rPr>
          <w:rFonts w:ascii="Sylfaen" w:hAnsi="Sylfaen"/>
          <w:color w:val="auto"/>
          <w:sz w:val="16"/>
          <w:szCs w:val="16"/>
        </w:rPr>
        <w:fldChar w:fldCharType="end"/>
      </w:r>
    </w:p>
    <w:p w:rsidR="002C3C7B" w:rsidRPr="000F536C" w:rsidRDefault="002C3C7B" w:rsidP="002C3C7B">
      <w:pPr>
        <w:spacing w:line="360" w:lineRule="auto"/>
        <w:rPr>
          <w:rFonts w:ascii="Sylfaen" w:hAnsi="Sylfaen"/>
          <w:color w:val="auto"/>
          <w:sz w:val="16"/>
          <w:szCs w:val="16"/>
        </w:rPr>
        <w:sectPr w:rsidR="002C3C7B" w:rsidRPr="000F536C">
          <w:pgSz w:w="11907" w:h="16840"/>
          <w:pgMar w:top="1134" w:right="709" w:bottom="567" w:left="1710" w:header="709" w:footer="843" w:gutter="0"/>
          <w:pgNumType w:start="1" w:chapStyle="1"/>
          <w:cols w:space="720"/>
        </w:sectPr>
      </w:pP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0" w:name="_Toc17796543"/>
      <w:bookmarkStart w:id="1" w:name="_Toc524700596"/>
      <w:r w:rsidRPr="000F536C">
        <w:rPr>
          <w:rFonts w:ascii="Sylfaen" w:hAnsi="Sylfaen" w:cs="Sylfaen"/>
          <w:sz w:val="16"/>
          <w:szCs w:val="16"/>
        </w:rPr>
        <w:lastRenderedPageBreak/>
        <w:t>1. Ներածություն</w:t>
      </w:r>
      <w:bookmarkEnd w:id="0"/>
      <w:bookmarkEnd w:id="1"/>
    </w:p>
    <w:p w:rsidR="002C3C7B" w:rsidRPr="000F536C" w:rsidRDefault="002C3C7B" w:rsidP="002C3C7B">
      <w:pPr>
        <w:spacing w:line="360" w:lineRule="auto"/>
        <w:jc w:val="both"/>
        <w:rPr>
          <w:rFonts w:ascii="Sylfaen" w:hAnsi="Sylfaen"/>
          <w:b/>
          <w:color w:val="FF000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 w:cs="Sylfaen"/>
          <w:color w:val="auto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Եղեգիս բնակավայրը ունի 96 բնակիչ և 122 տնային տնտեսություն: Բնակավայրը գտնվում է ՀՀ Վայոց Ձոր մարզի Եղեգնաձորի տարածաշրջանի Եղեգիս համայնքում: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հիմնական զբաղվածությունը անասնապահությունն ու դաշտավարությունն են: Դաշտավարության ոլորտում հիմնականում մշակվում է հացահատիկ, բազմամյա խոտ և կարտոֆիլ: Անասնապահության ոլորտում տնտեսություն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ները առավելապես մասնագիտացված են կաթնային և կաթնամսային տավարաբուծությամբ, որոշ տնտեսություններ` զբաղված են նաև ոչխարաբուծությամբ: Համաձայն բնակավայրի վարչական մարմնի տրամադրած տեղեկատվության (</w:t>
      </w:r>
      <w:r w:rsidRPr="000F536C">
        <w:rPr>
          <w:rFonts w:ascii="Sylfaen" w:hAnsi="Sylfaen" w:cs="Sylfaen"/>
          <w:bCs w:val="0"/>
          <w:color w:val="auto"/>
          <w:spacing w:val="0"/>
          <w:sz w:val="16"/>
          <w:szCs w:val="16"/>
        </w:rPr>
        <w:t>Տեղեկանք անասնագլխաքանակի և սեռահասակային կազմի վերաբերյալ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), առ 07.02.19թ. բնակավայրում հաշվառված է  322 գլուխ տարբեր սեռահասակային խմբերի խոշոր եղջերավոր, 937 գլուխ մանր եղջերավոր (ոչխար, այծեր, ուլեր և գառ</w:t>
      </w:r>
      <w:bookmarkStart w:id="2" w:name="_GoBack"/>
      <w:bookmarkEnd w:id="2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ներ), 13 գլուխ: Եղեգիս բնակավայրում 2018 թ. արտադրվել է մոտ 10500 կգ տավարի  և 6250 կգ ոչխարի միս, (տվյալները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 փոփոխությամբ, պայմանավորված իրացված անասնագլխով):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խոշոր եղջերավորի (կովերի) պահվացքով զբաղվող տնտեսություններից 15%-ի (6 տնտեսություն) հետ հարցումներով պարզվել է, որ մեկ կովի տարեկան միջին կաթնատվությունը կազմում է միջինը 1700 լիտր, համաձայն այս ցուցանիշի, համայնքում արտադրվել է շուրջ 205700 (121 կով x 1700 լիտր) լիտր կաթ: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 անասնաբուծական արտադրանքի որոշ մասը սպառվում է բնակավայրում, իսկ մեծ մասը մթերվում է տարածաշրջանում գործող վերամշակող կազմակերպությունների կողմից: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անասնապահական մթերքների արտադրու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թյան արտադրական ներուժը ներկայում ցածր է: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խնդիրները, բարձրացնելով կովերի միջին կաթ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նատ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վությունը` մինչև 15-20%-ով, իսկ արտադրվող մսի քանակությունը շուրջ 12-15%-ով: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Վերջին տարիների ընթացքում ՀՀ-ում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 խնդիրներին, այդ թվում նաև անասնապահության ոլորտի զարգացմանը, որի վկայությունն է ՌԶԳ ՀԿ-ի կողմից իրականացվող «Անասնապահության զարգացում Հայաստանի հարավում» ծրագրի սահմաններում բնական կերահանդակների կայուն կառավարման ու բարելավմանն ուղղված ծրագրային աշխատանքները: Իրականացվող ծրագրի շրջանակում մշակված և առաջարկվող արոտների կայուն կառավարման համակարգի ներդնումն անհրաժեշտ ենթակառուցվածքների ստեղծումով, նպաստելու է արոտային տարածքների արդյունավետ օգտագործմանը, դեգրադացման և հողի էրոզացման ռիսկերի կրճատմանը, վատթարացած արոտավայրերի բուսածածկի վերականգնմանը, նպաստելով արոտային շրջանի կերապահովման խնդրի լուծմամբ անասնաբուծության ոլորտի զարգացման, և անասնապահական մթերքների արտադրության ծավալների ավելացմամբ ֆերմերային տնտեսությունների եկամուտների բարձրացմանը:</w:t>
      </w:r>
    </w:p>
    <w:p w:rsidR="002C3C7B" w:rsidRPr="000F536C" w:rsidRDefault="002C3C7B" w:rsidP="002C3C7B">
      <w:pPr>
        <w:pStyle w:val="1"/>
        <w:spacing w:before="0" w:after="0" w:line="360" w:lineRule="auto"/>
        <w:ind w:firstLine="567"/>
        <w:rPr>
          <w:rFonts w:ascii="Sylfaen" w:hAnsi="Sylfaen" w:cs="Sylfaen"/>
          <w:color w:val="FF0000"/>
          <w:sz w:val="16"/>
          <w:szCs w:val="16"/>
        </w:rPr>
      </w:pPr>
      <w:bookmarkStart w:id="3" w:name="_Toc402354605"/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4" w:name="_Toc17796544"/>
      <w:bookmarkStart w:id="5" w:name="_Toc524700597"/>
      <w:r w:rsidRPr="000F536C">
        <w:rPr>
          <w:rFonts w:ascii="Sylfaen" w:hAnsi="Sylfaen"/>
          <w:sz w:val="16"/>
          <w:szCs w:val="16"/>
        </w:rPr>
        <w:t xml:space="preserve">2. </w:t>
      </w:r>
      <w:r w:rsidRPr="000F536C">
        <w:rPr>
          <w:rFonts w:ascii="Sylfaen" w:hAnsi="Sylfaen" w:cs="Sylfaen"/>
          <w:sz w:val="16"/>
          <w:szCs w:val="16"/>
        </w:rPr>
        <w:t>Եղեգիս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բնակավայրի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գյուղատնտեսական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նշանակության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հողերի կառուցվածքը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և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սեփականության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ձևերը</w:t>
      </w:r>
      <w:bookmarkEnd w:id="3"/>
      <w:bookmarkEnd w:id="4"/>
      <w:bookmarkEnd w:id="5"/>
    </w:p>
    <w:p w:rsidR="002C3C7B" w:rsidRPr="000F536C" w:rsidRDefault="002C3C7B" w:rsidP="002C3C7B">
      <w:pPr>
        <w:spacing w:line="360" w:lineRule="auto"/>
        <w:rPr>
          <w:rFonts w:ascii="Sylfaen" w:hAnsi="Sylfaen"/>
          <w:color w:val="FF000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Եղեգիս բնակավայրի հողային ֆոնդի առկայության և բաշխման մասին հաշվետվության (ձև 22), բնակավայրի վարչական տարածքը զբաղեցնում է շուրջ 3051.64 հա, որտեղ ըստ նպատակային նշանակության գյուղատնտեսական հողատեսքերը, ներառյալ տնամերձ հողերը, կազմում են </w:t>
      </w:r>
      <w:r w:rsidRPr="000F536C">
        <w:rPr>
          <w:rFonts w:ascii="Sylfaen" w:hAnsi="Sylfaen"/>
          <w:color w:val="auto"/>
          <w:sz w:val="16"/>
          <w:szCs w:val="16"/>
        </w:rPr>
        <w:t>1351+61.81=1413.32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 (աղյուսակ 1): Գյուղատնտեսական նշանակության հողատեսքերի միայն 57.3%-ը հանդիսանում է պետական սեփականություն, 0.01%-ը ՀՀ իրավաբանական անձանց սեփականություն, իսկ 42.69%-ը համայնքային և համայնքի բնակիչների մասնավոր սեփականությունն է: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Ըստ գործառնական նշանակության գյուղատնտեսական հողատեսքերի 46.19%-ը կազմում են բնական արոտները, որի շուրջ 30.72%-ը պետական սեփականություն է: </w:t>
      </w:r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Հողերի սեփականության կառուցվածքը Եղեգիս բնակավայրում</w:t>
      </w:r>
    </w:p>
    <w:tbl>
      <w:tblPr>
        <w:tblW w:w="7812" w:type="dxa"/>
        <w:jc w:val="center"/>
        <w:tblInd w:w="1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8"/>
        <w:gridCol w:w="1071"/>
        <w:gridCol w:w="1320"/>
        <w:gridCol w:w="1604"/>
        <w:gridCol w:w="1319"/>
      </w:tblGrid>
      <w:tr w:rsidR="002C3C7B" w:rsidRPr="000F536C" w:rsidTr="002C3C7B">
        <w:trPr>
          <w:trHeight w:val="64"/>
          <w:jc w:val="center"/>
        </w:trPr>
        <w:tc>
          <w:tcPr>
            <w:tcW w:w="2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Գյուղատնտեսական հողատեսքեր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 (հա)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Բաշխումը ըստ սեփականության ձևի</w:t>
            </w:r>
          </w:p>
        </w:tc>
      </w:tr>
      <w:tr w:rsidR="002C3C7B" w:rsidRPr="000F536C" w:rsidTr="002C3C7B">
        <w:trPr>
          <w:trHeight w:val="1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մասնավոր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համայնքային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պետական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Վարելահողեր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66.57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23.74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42.83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Բազմամյա տնկարք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12.01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Խոտհարք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79.83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60.20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19.63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Արոտավայրեր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1351.51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936.30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415.21</w:t>
            </w:r>
          </w:p>
        </w:tc>
      </w:tr>
      <w:tr w:rsidR="002C3C7B" w:rsidRPr="000F536C" w:rsidTr="002C3C7B">
        <w:trPr>
          <w:trHeight w:val="208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որից` գյուղամերձ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329.76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329.76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հեռագնա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1021.75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606.54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415.21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Այլ հողատեսքեր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1415.95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6.93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144.53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1264.05</w:t>
            </w:r>
          </w:p>
        </w:tc>
      </w:tr>
      <w:tr w:rsidR="002C3C7B" w:rsidRPr="000F536C" w:rsidTr="002C3C7B">
        <w:trPr>
          <w:trHeight w:val="64"/>
          <w:jc w:val="center"/>
        </w:trPr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2925.87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102.88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1143.29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1679.26</w:t>
            </w:r>
          </w:p>
        </w:tc>
      </w:tr>
    </w:tbl>
    <w:p w:rsidR="002C3C7B" w:rsidRPr="000F536C" w:rsidRDefault="002C3C7B" w:rsidP="002C3C7B">
      <w:pPr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6" w:name="_Toc402354606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Եղեգիս բնակավայրում առկա են 1351.51 հա արոտային տարածքներ, իսկ խոշոր և մանր եղջերավոր անասունների քանակը, ինչպես ցույց կտրվի հետագայում (աղյուսակ 11), կազմում է 329 պայմանական գլուխ (ՊԳ), այսինքն 1 ՊԳ-ին համայնքում առկա է շուրջ 4.1 հա արոտային տարածք, որը շուրջ կրկնակի անգամ ավելի բարձր ցուցանիշ է համեմատած «Արոտների և խոտհարքների օգտագործման կարգի» վերաբերյալ ՀՀ Կառավարության 2011թ. № 389-ն որոշմամբ նախատեսված նորմատիվը: Բնակավայրում հաշվառված անասնագլխի արոտային կերապահովման համար, անհրաժեշտ պայման է համարվում առկա արոտավայրերի կայուն կառվարման կարգերի գործարկումը: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pStyle w:val="1"/>
        <w:spacing w:before="0" w:after="0"/>
        <w:jc w:val="center"/>
        <w:rPr>
          <w:rFonts w:ascii="Sylfaen" w:hAnsi="Sylfaen" w:cs="Sylfaen"/>
          <w:sz w:val="16"/>
          <w:szCs w:val="16"/>
        </w:rPr>
      </w:pPr>
      <w:bookmarkStart w:id="7" w:name="_Toc17796545"/>
      <w:bookmarkStart w:id="8" w:name="_Toc524700598"/>
      <w:r w:rsidRPr="000F536C">
        <w:rPr>
          <w:rFonts w:ascii="Sylfaen" w:hAnsi="Sylfaen"/>
          <w:sz w:val="16"/>
          <w:szCs w:val="16"/>
        </w:rPr>
        <w:t xml:space="preserve">3. </w:t>
      </w:r>
      <w:r w:rsidRPr="000F536C">
        <w:rPr>
          <w:rFonts w:ascii="Sylfaen" w:hAnsi="Sylfaen" w:cs="Sylfaen"/>
          <w:sz w:val="16"/>
          <w:szCs w:val="16"/>
        </w:rPr>
        <w:t>Բնակավայրի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անասնագլխաքանակն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ըստ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տնտեսությունների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և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անասնակերի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պահանջը</w:t>
      </w:r>
      <w:bookmarkEnd w:id="6"/>
      <w:bookmarkEnd w:id="7"/>
      <w:bookmarkEnd w:id="8"/>
    </w:p>
    <w:p w:rsidR="002C3C7B" w:rsidRPr="000F536C" w:rsidRDefault="002C3C7B" w:rsidP="002C3C7B">
      <w:pPr>
        <w:rPr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Ինչպես Հայաստանի հանրապետության բոլոր բնակավայրերում, Եղեգիս բնակավայրում նույնպես հիմնականում բուծվում է խոշոր եղջերավորի (ԽԵԿ) Կովկասյան գորշ ցեղատեսակը, որը դիմացկուն է լեռնային պայմաններում և հավասարապես բուծվում է ինչպես կաթարտադրության, այնպես էլ մսարտադրության ուղղություններով, կան նաև Կովկասյան գորշի խառնածիններ, առանձին դեպքերում Շվիցի հետնորդներ: Կենդանիներն ապահովում են բնակավայրի տնտեսությունների, ինչպես նաև քաղաքային բնակչության մասնակի պահանջարկը կաթնամթերքի և մսամթերքի նկատմամբ: Ըստ համայնքապետարանի տեղեկատվության, բնակավայրում շուրջ 60 տնտեսություններ զբաղված են խոշոր եղջերավոր անասունների (ԽԵԿ) պահվածքով, 5 տնտեսություններ նաև մանր եղջերավոր անասունների (ՄԵԿ), մասնավորապես բալբաս և կիսակոպտաբուրդ ցեղատեսակներին պատկանող ոչխարների պահվածքով, բնակավայրում տնային տնտեսությունները  խոզաբուծությամբ չեն զբաղվում: Այսպիսով, բնակավայրում առկա է 322 գլուխ ԽԵԿ և 937 գլուխ ՄԵԿ` ոչխար, այծեր և գառներ, որոնք կերակրվում են բնակավայրի վարչական տարածքում առկա արոտավայրերից և այլընտրանքային կերապահովման տարածքներից ստացվող կանաչ զանգվածով և չոր խոտով: Աղյուսակ 2-ում բերված է բնակավայրում հաշվառված անասնագլխաքանակի բաշխվածությունն ըստ տնային տնտեսությունների, որը ցույց է տալիս, որ տնտեսությունների գերակշիռ մեծամասնությունը ունեն 1-5 գլուխ ԽԵԿ: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720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Տարբեր տարիներին բնակավայրում հաշվառված անասնագլխի տվյալների ուսումնասիրումով պարզվել է, որ վերջին տարիների ընթացքում որոշ տնային տնտեսութուններում տեղի է ունենում ԽԵԿ-ի և ՄԵԿ-ի գլխաքանակի աստիճանական ավելացում: Բնակավայրում 6-10 գլուխ ԽԵԿ ունեն համապատասխանաբար տնտեսությունների 16.6 %-ը: Մանր եղջերավորի պահվածքով զբաղվող տնտեսություններից 5-ում հաշվառված է շուրջ 937 գլուխ ՄԵԿ: (աղ. 2):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Մեր հարցազրույցներից պարզվել է, որ մսուրային շրջանին անհրաժեշտ որակյալ կերի կայուն բազայի ստեղծման հիմնական խոչընդոտների հաղթահարումից հետո`անմշակ վարելահողերի մշակությամբ դաշտային կերարտադրության զարգացումը, ինչպես նաև արոտային շրջանի կերապահովման համար բնական արոտների կայուն կառավարման կարգի ներդրմամբ և արդյունավետ օգտագործման անհրաժեշտ ենթակառուցվածքների (ջրելատեղ, մակատեղ) ստեղծումով արոտների օգտագործման հնարավորությունների և հասանելիության մեծացումը, էականորեն նպաստելու են բնակավայրում անասնապահության ոլորտի հետագա զարգացման, և անասնապահությամբ զբաղվող տնտեսությունների քանակի ու եկամուտների ավելացմանը:</w:t>
      </w:r>
      <w:r w:rsidRPr="000F536C">
        <w:rPr>
          <w:rFonts w:ascii="Sylfaen" w:hAnsi="Sylfaen"/>
          <w:color w:val="auto"/>
          <w:sz w:val="16"/>
          <w:szCs w:val="16"/>
        </w:rPr>
        <w:t xml:space="preserve">                  </w:t>
      </w:r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color w:val="auto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2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Անասունների գլխաքանակն ըստ տնային տնտեսությունների</w:t>
      </w:r>
    </w:p>
    <w:tbl>
      <w:tblPr>
        <w:tblW w:w="8970" w:type="dxa"/>
        <w:jc w:val="center"/>
        <w:tblInd w:w="-1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2"/>
        <w:gridCol w:w="2122"/>
        <w:gridCol w:w="1688"/>
        <w:gridCol w:w="2588"/>
      </w:tblGrid>
      <w:tr w:rsidR="002C3C7B" w:rsidRPr="000F536C" w:rsidTr="002C3C7B">
        <w:trPr>
          <w:trHeight w:val="938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 քանակը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Տնտեսու-թյուններ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քանակը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Տնտեսություններ</w:t>
            </w:r>
          </w:p>
        </w:tc>
      </w:tr>
      <w:tr w:rsidR="002C3C7B" w:rsidRPr="000F536C" w:rsidTr="002C3C7B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մինչև 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2C3C7B" w:rsidRPr="000F536C" w:rsidTr="002C3C7B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6-10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2C3C7B" w:rsidRPr="000F536C" w:rsidTr="002C3C7B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11-30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</w:tr>
      <w:tr w:rsidR="002C3C7B" w:rsidRPr="000F536C" w:rsidTr="002C3C7B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 և ավելի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31և ավելի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</w:tr>
      <w:tr w:rsidR="002C3C7B" w:rsidRPr="000F536C" w:rsidTr="002C3C7B">
        <w:trPr>
          <w:trHeight w:val="331"/>
          <w:jc w:val="center"/>
        </w:trPr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ind w:firstLine="96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</w:tr>
    </w:tbl>
    <w:p w:rsidR="002C3C7B" w:rsidRPr="000F536C" w:rsidRDefault="002C3C7B" w:rsidP="002C3C7B">
      <w:pPr>
        <w:pStyle w:val="1"/>
        <w:spacing w:before="0" w:after="0" w:line="360" w:lineRule="auto"/>
        <w:rPr>
          <w:rFonts w:ascii="Sylfaen" w:hAnsi="Sylfaen" w:cs="Sylfaen"/>
          <w:color w:val="FF0000"/>
          <w:sz w:val="16"/>
          <w:szCs w:val="16"/>
        </w:rPr>
      </w:pPr>
      <w:bookmarkStart w:id="9" w:name="_Toc402354607"/>
      <w:r w:rsidRPr="000F536C">
        <w:rPr>
          <w:rFonts w:ascii="Sylfaen" w:hAnsi="Sylfaen" w:cs="Sylfaen"/>
          <w:color w:val="FF0000"/>
          <w:sz w:val="16"/>
          <w:szCs w:val="16"/>
        </w:rPr>
        <w:t xml:space="preserve">                                  </w:t>
      </w: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0" w:name="_Toc17796546"/>
      <w:bookmarkStart w:id="11" w:name="_Toc524700599"/>
      <w:r w:rsidRPr="000F536C">
        <w:rPr>
          <w:rFonts w:ascii="Sylfaen" w:hAnsi="Sylfaen"/>
          <w:sz w:val="16"/>
          <w:szCs w:val="16"/>
        </w:rPr>
        <w:t xml:space="preserve">3.1 </w:t>
      </w:r>
      <w:r w:rsidRPr="000F536C">
        <w:rPr>
          <w:rFonts w:ascii="Sylfaen" w:hAnsi="Sylfaen" w:cs="Sylfaen"/>
          <w:sz w:val="16"/>
          <w:szCs w:val="16"/>
        </w:rPr>
        <w:t>Անասնակերի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պահանջի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հաշվարկ</w:t>
      </w:r>
      <w:bookmarkEnd w:id="9"/>
      <w:bookmarkEnd w:id="10"/>
      <w:bookmarkEnd w:id="11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Համաձայն կերի պահանջի հաշվարկման համար ընդունված անասնաբուծական չափորոշիչների, խոշոր և մանր եղջերավոր անասունները օրական պահանջում են իրենց մարմնի կշռի շուրջ 2.5 %-ի չափով չոր բուսազանգված (ՉԶ): Կերի պահանջը հաշվարկվում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են հիմնվելով բույսի ՉԶ-ի վրա, որն ապահովում է ճշգրիտ տվյալներ, քանի որ այստեղ վերանում է վեգետացիայի ընթացքում կանաչ զանգվածում տեղի ունեցող խոնավության փոփոխության հետ կապված հնարավոր սխալը զանգված հաշվարկելիս: Հիմնվելով այս մեթոդին հաշվարկվել է բնակավայրում առկա անասնագլխաքանակի կերապահովմանն անհրաժեշտ ՉԶ-ի ընդհանուր քանակությունն ինչպես մեկ օրվա, այնպես էլ ամբողջ արոտային և մսուրային ժամանակահատվածների  համար,  որն ամփոփված է աղյուսակ 3-ում: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վերջից  մինչև նոյեմբերի առաջին տասնօրյակը), իսկ մանր եղջերավորի (ոչխարի) արոտային շրջանը կազմում է 270 օր (մարտի առաջին տասնօրյակից մինչև դեկտեմբերի առաջին տասնօրյակը, գառների համար`210 օր (մայիսի առաջին տասնօրյակից մինչև դեկտեմբերի առաջին տասնօրյակը): Ինչպես երևում է աղյուսակ  3-ում բերված տվյալներից, բնակավայրում հաշվառված որոճող գյուղատնտեսական կենդանիների ՉԶ-ի ընդհանուր օրական պահանջը կազմում է 3311.9 կգ, որի 69.7 %-ը բաժին է ընկնում խոշոր եղջերավոր կենդանիներին: Արոտային շրջանում առկա անասնագլխի արոտակերի պահանջը կազմում է 672860 կգ, (672.8տ), իսկ մսուրային ժամանակահատվածի համար 516210 կգ, (516.2 տ):</w:t>
      </w:r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3 </w:t>
      </w:r>
    </w:p>
    <w:p w:rsidR="002C3C7B" w:rsidRPr="000F536C" w:rsidRDefault="002C3C7B" w:rsidP="002C3C7B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անասնագլխի համար պահանջվող չոր զանգվածի (ՉԶ-խոտի) հաշվարկ (մարմնի կշիռ x 0.025)</w:t>
      </w:r>
    </w:p>
    <w:tbl>
      <w:tblPr>
        <w:tblW w:w="9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951"/>
        <w:gridCol w:w="1134"/>
        <w:gridCol w:w="1439"/>
        <w:gridCol w:w="1049"/>
        <w:gridCol w:w="1702"/>
        <w:gridCol w:w="1718"/>
      </w:tblGrid>
      <w:tr w:rsidR="002C3C7B" w:rsidRPr="000F536C" w:rsidTr="002C3C7B">
        <w:trPr>
          <w:trHeight w:val="20"/>
          <w:tblHeader/>
          <w:jc w:val="center"/>
        </w:trPr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Գյուղ.</w:t>
            </w:r>
          </w:p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Կենդանիներ</w:t>
            </w: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Գլխա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softHyphen/>
              <w:t>քանակ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Մարմնի միջին կշիռ, կգ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1-գլխի ՉԶ-ի պահանջ, կգ/օր</w:t>
            </w:r>
          </w:p>
        </w:tc>
        <w:tc>
          <w:tcPr>
            <w:tcW w:w="4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Ընդհանուր գլխաքանակի ՉԶ-ի պահանջ,կգ</w:t>
            </w:r>
          </w:p>
        </w:tc>
      </w:tr>
      <w:tr w:rsidR="002C3C7B" w:rsidRPr="000F536C" w:rsidTr="002C3C7B">
        <w:trPr>
          <w:trHeight w:val="2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Օրեկան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Արոտային շրջանում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Մսուրային շրջանում</w:t>
            </w:r>
          </w:p>
        </w:tc>
      </w:tr>
      <w:tr w:rsidR="002C3C7B" w:rsidRPr="000F536C" w:rsidTr="002C3C7B">
        <w:trPr>
          <w:trHeight w:val="531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ԲxԴ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=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x արած.օր,</w:t>
            </w:r>
          </w:p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ԽԵԿ 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–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190 օր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ՄԵԿ 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- 270օր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=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Ե x մսուր.օր,</w:t>
            </w:r>
          </w:p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ԽԵԿ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-175օր 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(</w:t>
            </w: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ՄԵԿ-95օր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)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Կաթնատու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229900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211750</w:t>
            </w:r>
          </w:p>
        </w:tc>
      </w:tr>
      <w:tr w:rsidR="002C3C7B" w:rsidRPr="000F536C" w:rsidTr="002C3C7B">
        <w:trPr>
          <w:trHeight w:val="589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320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47120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43400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3-12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41800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38500</w:t>
            </w:r>
          </w:p>
        </w:tc>
      </w:tr>
      <w:tr w:rsidR="002C3C7B" w:rsidRPr="000F536C" w:rsidTr="002C3C7B">
        <w:trPr>
          <w:trHeight w:val="495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12-24 ամսական հորթեր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180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31500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7.5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142.5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27075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24937.5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400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310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58900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54250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Մաքի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361.2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97537.5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34314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1.25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247.5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47025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23512.5</w:t>
            </w:r>
          </w:p>
        </w:tc>
      </w:tr>
      <w:tr w:rsidR="002C3C7B" w:rsidRPr="000F536C" w:rsidTr="002C3C7B">
        <w:trPr>
          <w:trHeight w:val="2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Գառ+ուլեր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0.62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279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58590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43245</w:t>
            </w:r>
          </w:p>
        </w:tc>
      </w:tr>
      <w:tr w:rsidR="002C3C7B" w:rsidRPr="000F536C" w:rsidTr="002C3C7B">
        <w:trPr>
          <w:trHeight w:val="174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350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8.75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113.7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30712.5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10801.5</w:t>
            </w:r>
          </w:p>
        </w:tc>
      </w:tr>
      <w:tr w:rsidR="002C3C7B" w:rsidRPr="000F536C" w:rsidTr="002C3C7B">
        <w:trPr>
          <w:trHeight w:val="60"/>
          <w:jc w:val="center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3311.9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672860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tabs>
                <w:tab w:val="left" w:pos="1258"/>
              </w:tabs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516210.5</w:t>
            </w:r>
          </w:p>
        </w:tc>
      </w:tr>
    </w:tbl>
    <w:p w:rsidR="002C3C7B" w:rsidRPr="000F536C" w:rsidRDefault="002C3C7B" w:rsidP="002C3C7B">
      <w:pPr>
        <w:rPr>
          <w:rFonts w:ascii="Sylfaen" w:hAnsi="Sylfaen"/>
          <w:sz w:val="16"/>
          <w:szCs w:val="16"/>
        </w:rPr>
      </w:pPr>
      <w:bookmarkStart w:id="12" w:name="_Toc402354608"/>
      <w:bookmarkStart w:id="13" w:name="_Toc524700600"/>
      <w:r w:rsidRPr="000F536C">
        <w:rPr>
          <w:rFonts w:ascii="Sylfaen" w:hAnsi="Sylfaen" w:cs="Sylfaen"/>
          <w:b/>
          <w:sz w:val="16"/>
          <w:szCs w:val="16"/>
        </w:rPr>
        <w:t>Ծանոթություն</w:t>
      </w:r>
      <w:r w:rsidRPr="000F536C">
        <w:rPr>
          <w:rFonts w:ascii="Sylfaen" w:hAnsi="Sylfaen"/>
          <w:sz w:val="16"/>
          <w:szCs w:val="16"/>
        </w:rPr>
        <w:t xml:space="preserve">` </w:t>
      </w:r>
      <w:r w:rsidRPr="000F536C">
        <w:rPr>
          <w:rFonts w:ascii="Sylfaen" w:hAnsi="Sylfaen" w:cs="Sylfaen"/>
          <w:sz w:val="16"/>
          <w:szCs w:val="16"/>
        </w:rPr>
        <w:t>գառների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արոտային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շրջանը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կազմում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է</w:t>
      </w:r>
      <w:r w:rsidRPr="000F536C">
        <w:rPr>
          <w:rFonts w:ascii="Sylfaen" w:hAnsi="Sylfaen"/>
          <w:sz w:val="16"/>
          <w:szCs w:val="16"/>
        </w:rPr>
        <w:t xml:space="preserve"> 210 </w:t>
      </w:r>
      <w:r w:rsidRPr="000F536C">
        <w:rPr>
          <w:rFonts w:ascii="Sylfaen" w:hAnsi="Sylfaen" w:cs="Sylfaen"/>
          <w:sz w:val="16"/>
          <w:szCs w:val="16"/>
        </w:rPr>
        <w:t>օր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մայիսի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առաջին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տասնօրյակից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մինջև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դեկտեմբերի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առաջին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տասնօրյակը</w:t>
      </w:r>
    </w:p>
    <w:p w:rsidR="002C3C7B" w:rsidRPr="000F536C" w:rsidRDefault="002C3C7B" w:rsidP="002C3C7B">
      <w:pPr>
        <w:pStyle w:val="1"/>
        <w:spacing w:before="0" w:after="0" w:line="360" w:lineRule="auto"/>
        <w:rPr>
          <w:rFonts w:ascii="Sylfaen" w:hAnsi="Sylfaen"/>
          <w:sz w:val="16"/>
          <w:szCs w:val="16"/>
        </w:rPr>
      </w:pP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/>
          <w:b w:val="0"/>
          <w:sz w:val="16"/>
          <w:szCs w:val="16"/>
        </w:rPr>
      </w:pPr>
      <w:bookmarkStart w:id="14" w:name="_Toc17796547"/>
      <w:r w:rsidRPr="000F536C">
        <w:rPr>
          <w:rFonts w:ascii="Sylfaen" w:hAnsi="Sylfaen"/>
          <w:sz w:val="16"/>
          <w:szCs w:val="16"/>
        </w:rPr>
        <w:t xml:space="preserve">4. </w:t>
      </w:r>
      <w:r w:rsidRPr="000F536C">
        <w:rPr>
          <w:rFonts w:ascii="Sylfaen" w:hAnsi="Sylfaen" w:cs="Sylfaen"/>
          <w:sz w:val="16"/>
          <w:szCs w:val="16"/>
        </w:rPr>
        <w:t>Բնակավայրի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ֆիզիկաաշխարհագրական</w:t>
      </w:r>
      <w:bookmarkStart w:id="15" w:name="_Toc402354609"/>
      <w:bookmarkEnd w:id="12"/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առանձնահատկությունները</w:t>
      </w:r>
      <w:bookmarkEnd w:id="13"/>
      <w:bookmarkEnd w:id="14"/>
      <w:bookmarkEnd w:id="15"/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Եղեգիս բնակավայրը աշխարհագրական տեղադրվածությամբ գտնվում է ՀՀ Վայոց Ձոր մարզի Եղեգնաձորի տարածաշրջանում, ծովի մակարդակից շուրջ 1570 մ բարձրության վրա, Եղեգիս գետի հովտում: բնակավայրի վարչական տարածքը տարածված է Վարդենիսի  լեռների  հարավ-արևմտյան կողմնադրման լանջերի ցածրադիր, միջին և վերին բարձրության սարավանդներում, ծովի մակարդակից 1600 մ-ից մինչև 3100 մ բարձրությունները, ներառնվելով հետևյալ բնական լանդշաֆտային գոտիներում՝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ա)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լեռնատա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փաս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տանային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գոտի                        ( ծ.մ.1600-2300 մ),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բ)  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( ծ.մ.2300-2700 մ),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գ)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ալպյան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լեռնամարգագետնային  գոտի           ( ծ.մ.2700-3100 մ), 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ձևավորված հողերի համար, որպես մայրական տեսակներ են հանդիսացել հրաբխածին և նստվածքային ապարները` հիմնականում անդեզիտո-բազալտային, անդեզիտային, տուֆային առավել սակավ՝ թերթաքարային կվարցերը, գրանիտները և տրավերտինները: Սրանց հողմնհարման արդյունքում ձևավորված տարրերը առավելապես դելյուվիալ, դելյուվիալ-պրոլյուվիալ, ալյուվիալ-պրոլյուվիալ գետահունային բերվածքների, ինչպես նաև մայրական ապարների լերկացման տեսքով առաջացրել են գենետիկական նստվածքներ, որոնցից և ձևավորվել են ներկայիս հողատիպերը (գորշ անտառային խճաքարային, տիպիկ մարգագետնատափաստանային, լեռնամարգագետնային թույլ և ուժեղ ճմակալած, լեռնամարգագետնային ճմատորֆային և դարչնագույն  հողեր): Հողերի քարքարոտվածությունը բարձրադիր մասերւոմ բարձր է և կազմում է 15-19 %: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spacing w:val="0"/>
          <w:sz w:val="16"/>
          <w:szCs w:val="16"/>
        </w:rPr>
        <w:t xml:space="preserve">ա) Լեռնատափաստանային   </w:t>
      </w:r>
      <w:proofErr w:type="gramStart"/>
      <w:r w:rsidRPr="000F536C">
        <w:rPr>
          <w:rFonts w:ascii="Sylfaen" w:hAnsi="Sylfaen"/>
          <w:b/>
          <w:bCs w:val="0"/>
          <w:spacing w:val="0"/>
          <w:sz w:val="16"/>
          <w:szCs w:val="16"/>
        </w:rPr>
        <w:t xml:space="preserve">գոտին </w:t>
      </w:r>
      <w:r w:rsidRPr="000F536C">
        <w:rPr>
          <w:rFonts w:ascii="Sylfaen" w:hAnsi="Sylfaen"/>
          <w:b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Վարդենիսի լեռների հարավ արևմտյան կողմնադրման լանջերի ցածրադիր հատվածները և հարակից լեռնային սարավանդները ծովի մակարդակից մինչև </w:t>
      </w:r>
      <w:r w:rsidRPr="000F536C">
        <w:rPr>
          <w:rFonts w:ascii="Sylfaen" w:hAnsi="Sylfaen"/>
          <w:bCs w:val="0"/>
          <w:spacing w:val="0"/>
          <w:sz w:val="16"/>
          <w:szCs w:val="16"/>
        </w:rPr>
        <w:t>2300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մ. բարձրությամբ: Կլիման բարեխառն լեռնային է, տաք ամառ և ցուրտ ձմեռ, կայուն ձնածածկույթով: Ամենաբարձր դրական ջերմաստիճանը ամռանը կազմում է +38,0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C, իսկ ամենացուրտ եղանակը գրանցվում է հունվար ամսին, միջինը -18-22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C:</w:t>
      </w:r>
    </w:p>
    <w:p w:rsidR="002C3C7B" w:rsidRPr="000F536C" w:rsidRDefault="002C3C7B" w:rsidP="002C3C7B">
      <w:pPr>
        <w:spacing w:line="360" w:lineRule="auto"/>
        <w:ind w:firstLine="54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Մթնոլորտային տեղումների տարեկան քանակը կազմում է 400-450 մմ: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Հողային ֆոնդը միջին և բարձր քարքարոտվածությամբ, հիմնականում բաղկացած է միջին և բարձր հզորությամբ լեռնաշագանակագույն հողերից և լեռնաանտառային դարչնագույն հողատիպերից: Մակերևույթային հոսքերը միջին արտահայտվածությամբ, առավել գերակշռում են ստորերկրյա հոսքերը: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Չոր կլիմայի պայմաններում, բնական լանդշաֆտներում օրգանական նյութի քայքայումը ինտեսիվ ձևով է կատարվում, որի հետևանքով գոտուն բնորոշ տարատեսակ հողերում հումուսի պարունակությունը կազմում է 4-5 %: Հողածածկը միջին քարքարոտությամբ, հզորությունը մինջև 18-25 սմ: 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Բուսականությունը` հիմնականում դաշտավլուկազգի-տարախոտային տափաստանային է: Բնական բուսածածկոցում ամենուրեք գերիշխում են տարբեր սիզախոտեր, շյուղախոտեր, ոզնախոտը, ցորնուկը, դաշտավլուկը, սեզը, սիզախոտը, դաշտամոլախոտային վիկերը, հազարատերևուկը, օշինդրերը, իշակաթնուկը և այլն: Մեծ թեքությամբ լանջերին հանդիպում են փշաբարձային և վատորակ աստրագալային կիսաթփուտների զգալի տարածվածություն, առանձին հատվածներում մակերևույթային հողմնահարման և էռոզիաների հետևանքով առկա են մայրական ապարների ելքեր քարաբեկորների տեսքով: Առավել բարձրադիր հատվածների լեռնալանջերում հատվածներով տարածվում է երկրորդական ծագման թփուտային տարածքները: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Բուսածածկում հիմնականում գերակշռում են քսերոմեզոֆիտ տեսակները, որի պատճառով առաջացել են կերհանդակների քիչ տիպեր, որոնք հիմնականում օգտագործվում են որպես արոտավայրեր: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 w:cs="Sylfaen"/>
          <w:sz w:val="16"/>
          <w:szCs w:val="16"/>
        </w:rPr>
      </w:pPr>
      <w:r w:rsidRPr="000F536C">
        <w:rPr>
          <w:rFonts w:ascii="Sylfaen" w:hAnsi="Sylfaen"/>
          <w:b/>
          <w:bCs w:val="0"/>
          <w:spacing w:val="0"/>
          <w:sz w:val="16"/>
          <w:szCs w:val="16"/>
        </w:rPr>
        <w:t>բ) Մերձալպյան գոտի</w:t>
      </w:r>
      <w:bookmarkStart w:id="16" w:name="_Toc524700601"/>
      <w:bookmarkStart w:id="17" w:name="_Toc402354610"/>
      <w:r w:rsidRPr="000F536C">
        <w:rPr>
          <w:rFonts w:ascii="Sylfaen" w:hAnsi="Sylfaen"/>
          <w:b/>
          <w:bCs w:val="0"/>
          <w:spacing w:val="0"/>
          <w:sz w:val="16"/>
          <w:szCs w:val="16"/>
        </w:rPr>
        <w:t xml:space="preserve">,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ընդգրկում է Վարդենիսի լեռնաշղթայի հարավային կողմնադրության բարձրադիր լանջերը՝ ծ.մ. 2300-2700 մ բարձրությունները: Բնական գործընթացներն այստեղ ընթանում են ցածր ջերմաստիճանների և համեմատաբար առատ խոնավության պայմաններում: Ձմեռն այստեղ տևական է (4-4.5 ամիս) և միջին ձնառատությամբ: Ձմռան ամիսներին օդի միջին ջերմաստիճանը -12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C է, իսկ նվազագույնը՝ իջնում է՝ -28-30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ժամանակաշրջանը 3.5 ամիս է: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Հողառաջացումը կատարվում է տևական ձնածածկույթի պայմաններում: Ցածր ջերմաստիճանը հնարավորություն է տալիս հզոր հումուսային շերտի առաջացմանը: Գոտին բնորոշվում է լեռնամարգագետնային թույլ և ուժեղ ճմակալված սևահողերով: Արգավանդ հողաշերտը հաճախ գերազանցելում է 40-50սմ-ը: Լանդշաֆտային գոտու զգալի հատվածներում առկա են խոշոր քարերի ելքեր և ժայռային գոյացություններ: Այստեղ ձևավորված են հիմնականում ենթալպյան փարթամ բուսածածկ, որտեղ հաճախ հանդիպող բուսատեսակներն են՝ խատուտիկը, ալպիական դաշտավլուկը, մարգագետնային սիզախոտը, հավաքված ոզնախոտը, սպիտակ սև և պսպղուն օշինդրերը, շյուղախոտեր, երեքնուկներ, եղջերառվույտը, փոքր առվույտը, վերոնիկան, զանգակածաղիկը, տերեփուկը, թթվիճը, գայլաթաթը, կելերյան, խայտաբղետ ցորնուկը, տարկավանը և այլն: Տարեկան թափվող տեղումների քանակը կազմում է մինչև 550-650 մմ: Գոտին բնութագրվում է բավականին բարձր բուսապատվածությամբ և հարուստ տեսակային կազմերով, հանդիպում են շուրջ 75-85 տեսակներ: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գ) Բարձր լեռնային ալպյան լեռնամարգագետնային գոտի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ընդգրկում է Վարդենիսի լեռնաշխթայի հարավ-արևմտյան կողմնադրության բարձրադիր լանջերը՝ 2700-3100 մ բարձրությունները: Բնական գործընթացներն այստեղ ընթանում են ցածր ջերմաստիճանի և առատ խոնավության պայմաններում: Ձմեռը տևական է 4.5-5 ամիս, ձնառատ: Ձմռանը օդի միջին ջերմաստիճանը -10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 է, նվազագույնը մինչև -34-36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C: Վեգետացիոն ժամանակահատվածը 2.5-3 ամիս է: գոտին բնութագրվում է հիմնականում լեռնամարգագետնային ուժեղ ճմակալված, լեռնամարգագետնային ճմատորֆային և ճմակալված դարչնագույն մեծ հզորությամբ հողերի գերակշռությամբ: Բուսածածկը ցածր է 8-12 սմ բարձրությամբ, օժտված արագ աճեցողությամբ: Այս գոտու լանդշաֆտներում ձևավորված են ալպյան գորգերը, որոնք հաճախ խախտվում են ժայռերով և չինգիլներով: Բուսական ծածկոցի կազմը հիմնականում պայմանավորված է լանջերի դիրքադրումից և քարային կուտակումների միկրոպայմաններից: Գոտու արոտավայրերի որոշ մասը օգտագործվում է հեռագնա ճամբարային պահվածքով: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pStyle w:val="2"/>
        <w:spacing w:before="0" w:after="0" w:line="360" w:lineRule="auto"/>
        <w:jc w:val="center"/>
        <w:rPr>
          <w:rFonts w:ascii="Sylfaen" w:hAnsi="Sylfaen" w:cs="Sylfaen"/>
          <w:i w:val="0"/>
          <w:color w:val="auto"/>
          <w:sz w:val="16"/>
          <w:szCs w:val="16"/>
          <w:lang w:val="en-US"/>
        </w:rPr>
      </w:pPr>
      <w:bookmarkStart w:id="18" w:name="_Toc17796548"/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4.1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Արոտատեղամասերի էկոլոգիական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գնահատում</w:t>
      </w:r>
      <w:bookmarkEnd w:id="16"/>
      <w:bookmarkEnd w:id="17"/>
      <w:bookmarkEnd w:id="18"/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color w:val="auto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Եղեգիս բնակավայրի վարչական տարածքում բ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նական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ո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տներ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(նոր քարտեզագրումով ստացված տվյալներով) կազմում են 1351.51 հա,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ինչը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բնականաբար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կարևորագույն ռեսուրս է բնակավայրի պայմաններում անասնապահության ոլորտին անհրաժեշտ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արոտային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շրջանի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կերապահովման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խնդրի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լուծմ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lang w:val="ru-RU"/>
        </w:rPr>
        <w:t>գործում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Բնակավայրի արոտավայրերը տարածված են վերը նշված լանդշաֆտային գոտիների տարբեր բարձրություններում, որտեղ էականորեն տարբերվում են ինչպես բուսատեղի պայմանները, այնպես էլ ձևավորվող բուսածածկն ու բուսապատվածության աստիճանը (աղ.4): </w:t>
      </w:r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Աղյուսակ 4</w:t>
      </w:r>
    </w:p>
    <w:p w:rsidR="002C3C7B" w:rsidRPr="000F536C" w:rsidRDefault="002C3C7B" w:rsidP="002C3C7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գոտիների արոտավայրերում առկա տարրեր և </w:t>
      </w:r>
    </w:p>
    <w:p w:rsidR="002C3C7B" w:rsidRPr="000F536C" w:rsidRDefault="002C3C7B" w:rsidP="002C3C7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բուսապատվածություն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(%)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411"/>
        <w:gridCol w:w="851"/>
        <w:gridCol w:w="1418"/>
        <w:gridCol w:w="1277"/>
        <w:gridCol w:w="1277"/>
        <w:gridCol w:w="1418"/>
      </w:tblGrid>
      <w:tr w:rsidR="002C3C7B" w:rsidRPr="000F536C" w:rsidTr="002C3C7B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Արոտամասի անվանումը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Չափը, հա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Քարքա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րոտու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թյունը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Ժայռոտ ափերով ձորեր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ծածկ տարածք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Լանդշաֆտային գոտի</w:t>
            </w:r>
          </w:p>
        </w:tc>
      </w:tr>
      <w:tr w:rsidR="002C3C7B" w:rsidRPr="000F536C" w:rsidTr="002C3C7B">
        <w:trPr>
          <w:trHeight w:val="3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Կոշըվանք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</w:t>
            </w:r>
          </w:p>
        </w:tc>
      </w:tr>
      <w:tr w:rsidR="002C3C7B" w:rsidRPr="000F536C" w:rsidTr="002C3C7B">
        <w:trPr>
          <w:trHeight w:val="2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Եզդիների սարատեղ-1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74.42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2/1</w:t>
            </w:r>
          </w:p>
        </w:tc>
      </w:tr>
      <w:tr w:rsidR="002C3C7B" w:rsidRPr="000F536C" w:rsidTr="002C3C7B">
        <w:trPr>
          <w:trHeight w:val="3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Եզդիների սարատեղ-2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Վերևի սև հողեր-1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93.76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Վերևի սև հողեր-2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91.48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Թազայլու-1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109.62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Թազայլու-2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104.32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Թթու ջուր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89.04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136.34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73.69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120.07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2/3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148.16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1.6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110.99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Sylfaen"/>
                <w:iCs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Sylfaen"/>
                <w:iCs/>
                <w:color w:val="auto"/>
                <w:sz w:val="16"/>
                <w:szCs w:val="16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Սարատեղ-6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129.53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9.5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z w:val="16"/>
                <w:szCs w:val="16"/>
              </w:rPr>
              <w:t>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</w:t>
            </w:r>
          </w:p>
        </w:tc>
      </w:tr>
    </w:tbl>
    <w:p w:rsidR="002C3C7B" w:rsidRPr="000F536C" w:rsidRDefault="002C3C7B" w:rsidP="002C3C7B">
      <w:pPr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աղյուսակում լանդշաֆտային գոտին ներկայացված է համապատասխան թվով`  </w:t>
      </w:r>
    </w:p>
    <w:p w:rsidR="002C3C7B" w:rsidRPr="000F536C" w:rsidRDefault="002C3C7B" w:rsidP="002C3C7B">
      <w:pPr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1-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լեռնատափաստանային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, 2- մերձալպյան, 3-ալպյան լեռնամարգագետնային:</w:t>
      </w:r>
    </w:p>
    <w:p w:rsidR="002C3C7B" w:rsidRPr="000F536C" w:rsidRDefault="002C3C7B" w:rsidP="002C3C7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Նշված գոտիներում առանձնացվել են 14 արոտատեղամասեր (տես` աղյուսակ 4): Արոտատեղամասերի առանձնացումը կատարվել է երկու մոտեցմամբ, ըստ լանդշաֆտային գոտու բարձրությունների և ռելիեֆի ձևաբանական միավորների (գետահովիտներ, բլրաշարեր և այլն): Իսկ արոտատեղամասերի էկոլոգիական իրավիճակի գնահատումը կատարվել է հիմնականում դաշտային ուսումնասիրությունների` մոնիտորինգի արդյունքում, ինչպես նաև կամերալ պայմաններում տիեզերական նկարների վիզուալ վերծանմամբ:</w:t>
      </w:r>
    </w:p>
    <w:p w:rsidR="002C3C7B" w:rsidRPr="000F536C" w:rsidRDefault="002C3C7B" w:rsidP="002C3C7B">
      <w:pPr>
        <w:spacing w:line="360" w:lineRule="auto"/>
        <w:ind w:firstLine="720"/>
        <w:jc w:val="both"/>
        <w:rPr>
          <w:rFonts w:ascii="Sylfaen" w:hAnsi="Sylfaen"/>
          <w:b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spacing w:val="0"/>
          <w:sz w:val="16"/>
          <w:szCs w:val="16"/>
        </w:rPr>
        <w:t xml:space="preserve">Լեռնատափաստանային 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լանդշաֆտային գոտում է գտնվում արոտավայրերի 5.59 </w:t>
      </w:r>
      <w:r w:rsidRPr="000F536C">
        <w:rPr>
          <w:rFonts w:ascii="Times Armenian" w:hAnsi="Times Armenian"/>
          <w:bCs w:val="0"/>
          <w:spacing w:val="0"/>
          <w:sz w:val="16"/>
          <w:szCs w:val="16"/>
        </w:rPr>
        <w:t xml:space="preserve">%  </w:t>
      </w:r>
      <w:r w:rsidRPr="000F536C">
        <w:rPr>
          <w:rFonts w:ascii="Sylfaen" w:hAnsi="Sylfaen"/>
          <w:bCs w:val="0"/>
          <w:spacing w:val="0"/>
          <w:sz w:val="16"/>
          <w:szCs w:val="16"/>
        </w:rPr>
        <w:t>(75.61),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որտեղ 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 առանձնացվել է Կոշըվանք արոտավայրն ու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Եզդիների սարատեղ-1 արոտատեղամասի ցածրադիր հատվածները: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 Այս արոտավայրերին բնորոշ է քարքարոտության միջին աստիճան, մինջև 8-10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%: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 Էկոլոգիական գնահատման տեսակետից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համայնքամերձ այս արոտատեղում առկա է բուսածածկի հիմնականում միջին, մասամբ նաև բարձր դեգրադացվածություն, պայմանավորված գերօգտագործվածության բարձր մակարդակով: Որոշ հատվածներում զգալի տարածում ունեն կիսաթփուտային բուսուտների տարածվածությունը (0.7-1.1%), արոտատեղամասերում միջին բուսապատվածությունն կազմում է </w:t>
      </w:r>
      <w:r w:rsidRPr="000F536C">
        <w:rPr>
          <w:rFonts w:ascii="Sylfaen" w:hAnsi="Sylfaen"/>
          <w:bCs w:val="0"/>
          <w:spacing w:val="0"/>
          <w:sz w:val="16"/>
          <w:szCs w:val="16"/>
        </w:rPr>
        <w:t>69-70</w:t>
      </w:r>
      <w:r w:rsidRPr="000F536C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%: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Բուսակացքը տեսակային կազմերով հարուստ չէ, առավելապես գերակշռում են չափավոր խոնավասեր և չորադիմացկուն տեսակները</w:t>
      </w:r>
      <w:r w:rsidRPr="000F536C">
        <w:rPr>
          <w:rFonts w:ascii="Times Armenian" w:hAnsi="Times Armenian"/>
          <w:bCs w:val="0"/>
          <w:color w:val="auto"/>
          <w:spacing w:val="0"/>
          <w:sz w:val="16"/>
          <w:szCs w:val="16"/>
        </w:rPr>
        <w:t xml:space="preserve">: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Այս արոտատեղամասում առկա է վարընթաց զարգացում,  բավականին բարձր են արոտի դեգրադացիայի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ԱԴՑ)  և էրոզիայի հակվածության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ԷՀՑ) ցուցանիշները: Միջին ռիսկային արոտավայր է համաձայն արոտի իրավիճակի ցուցանիշի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ԱԻՑ) ստացված արժեքների: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Մերձալպյան լեռնամարգագետնա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softHyphen/>
        <w:t>յին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լանդշաֆտային գոտում տարածված են արոտավայրերի շուրջ </w:t>
      </w:r>
      <w:r w:rsidRPr="000F536C">
        <w:rPr>
          <w:rFonts w:ascii="Sylfaen" w:hAnsi="Sylfaen"/>
          <w:bCs w:val="0"/>
          <w:spacing w:val="0"/>
          <w:sz w:val="16"/>
          <w:szCs w:val="16"/>
        </w:rPr>
        <w:t>45.73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%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 (618 հա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) , առանձնացվել է Եզդիների սարատեղ-2,Վերին սև հողեր-1: 2-ը,Թազայլու-1: 2-ը, արոտավայրերը, ինչպես նաև Թթու ջուր, Սարատեղ-1 և Սարատեղ-3 արոտատեղամասերի բարձրադիր հատվածները: Էկոլոգիական գնահատման տեսակետից այս տեղամասերին բնորոշ է թույլ և  միջին քարքարոտվածությունը` մինչև 5-15 %: Քարքարոտվածությունը համեմատաբար  թույլ է Վերին սև հողեր-2 արոտավայրում, կազմելով 5 </w:t>
      </w:r>
      <w:r w:rsidRPr="000F536C">
        <w:rPr>
          <w:rFonts w:ascii="Times Armenian" w:hAnsi="Times Armenian"/>
          <w:bCs w:val="0"/>
          <w:color w:val="auto"/>
          <w:spacing w:val="0"/>
          <w:sz w:val="16"/>
          <w:szCs w:val="16"/>
        </w:rPr>
        <w:t>%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Որոշ արոտավայրերում քարքարոտվածության  հետ մեկտեղ առկա են փշաբարձային կիսաթփուտների մեծ տարածվածություն: Միջին և բարձր թեքությամբ նոսրացած բուսածածկով լանջերին  հատվածներով առկա է քարային ցրոների տարածվածություն և մակերևույթային էրոզիայի հստակ նշաններ, պայմանավորված մասնակի և ընդարձակվող բուսազրկվածությամբ: Միջին բուսապատվածության աստիճանը արոտներում կազմում է մինչև 75-76 %: Այս արոտների հատկապես ցածրադիր հատվածները մասնակի դեգրադացված են: Միջին ռիսկային արոտներ են համաձայն արոտի իրավիճակի ցուցանիշի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ԱԻՑ) ստացված արժեքների: Պատկերն առավել ակնառու է Կազոնի-1 արոտատեղամասում: Այս արոտների էկոլոգիական վիճակը բավականին վատթար են, որոշ հատվածներում առկա է վարընթաց զարգացում, բուսապատ տարածքներում զգալի տարածում ունեն վատորակ փշաբարձային և աստրագալային քիչ արդյունավետ կիսաթփուտների տարածվածությունն, բավականին բարձր է գերօգտագործման և ոտնահարման մակարդակը: Համեմատաբար վիճակը բարվոք է Թազայլու-2 և Սարատեղ-1 արոտավայրերում, որտեղ առկա է բավականին լավ բուսածածկ, արոտի դեգրադացիայի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ԱԴՑ-ի) ցուցանիշը գնահատվում է միջինից թույլ ռիսկային, իսկ էրոզիայի հակվածության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ԷՀՑ-ի) ցուցանիշները գնահատվում է միջին ռիսկային: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lastRenderedPageBreak/>
        <w:t>Ալպյան լեռնամարգագետնային գոտում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առանձնացվել են Սարատեղ-2,  4,  5 և 6 արոտավայրերը: Գոտու արոտների մակերևույթը բնութագրվում է հիմնականում միջին և բարձր, տեղ-տեղ գերբարձր թեքության լանջերով և զառիթափեր ունեցող լեռնազանգվածներով (որոշ հատվածներում լանջերի թեքությունը կազմում է 40-65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0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), խորը ընկած ձորերով և միջլեռնային հարթություններով: Գոտու տեղամասերի բնորոշ առանձնահատկություններից մեկը  քարացրոնների և լեռնային չինգիլների զգալի տարածվածությունն է, ինչով պայմանավորված զգալի կրճատվում է որոշ արոտատեղամասերի օգտակար մակերեսները: Այստեղ նույնպես քարքարոտվածությունը տատանվում է մեծ միջակայքում՝ 8-12% սահմաններում: Բարձր է քարքարոտվածությունն հատկապես Սարատեղ-2 արոտատեղամասում, կազմելով 11-13%: Այս գոտու հիմնական արոտատեղամասերում (չհաշված 3 քարքարոտ արոտները) համեմատաբար բարձր է բուսապատվածությունը, ինչով պայմանավորված էկոլոգիական վիճակը համեմատաբար կայուն է: Ընդհանուր բուսապատվածությունը կազմում է 76-8%: Արոտներում առկա է համեմատաբար կայուն վիճակ, էռոզիայի հակվածությոնն (ԷՀՑ) և արոտի դեգրադացվածությունն (ԱԴՑ) միջին և ցածր ռիսկային տիրույթում է: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Ընդհանուր առմամբ համայնքի արոտներից առավել դեգրադացված են լեռնատափաստանային գոտու համայնքամերձ հատվածի արոտները, որտեղ պայմանավորված վաղ գարնանային գերարածեցումների և ոտնահարման բարձր մակարդակով, առկա են դեգրադացված տարածքներ, իսկ թեքություններում ձևավորվել և զարգացում է ապրում մակերևույթային էրոզիան, ինչով և պայմանավորված արոտների որոշ հատվածներում իրավիճակի ցուցանիշները (ԱԻՑ) գնահատվում է միջինից բարձր ռիսկային: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19" w:name="_Toc402354611"/>
      <w:bookmarkStart w:id="20" w:name="_Toc17796549"/>
      <w:bookmarkStart w:id="21" w:name="_Toc524700602"/>
      <w:r w:rsidRPr="000F536C">
        <w:rPr>
          <w:rFonts w:ascii="Sylfaen" w:hAnsi="Sylfaen"/>
          <w:sz w:val="16"/>
          <w:szCs w:val="16"/>
        </w:rPr>
        <w:t xml:space="preserve">5. </w:t>
      </w:r>
      <w:r w:rsidRPr="000F536C">
        <w:rPr>
          <w:rFonts w:ascii="Sylfaen" w:hAnsi="Sylfaen" w:cs="Sylfaen"/>
          <w:sz w:val="16"/>
          <w:szCs w:val="16"/>
        </w:rPr>
        <w:t>Ընթացիկ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կառավարում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ըստ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գոտ</w:t>
      </w:r>
      <w:bookmarkEnd w:id="19"/>
      <w:r w:rsidRPr="000F536C">
        <w:rPr>
          <w:rFonts w:ascii="Sylfaen" w:hAnsi="Sylfaen" w:cs="Sylfaen"/>
          <w:sz w:val="16"/>
          <w:szCs w:val="16"/>
        </w:rPr>
        <w:t>ու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արոտատեղամասերի</w:t>
      </w:r>
      <w:bookmarkEnd w:id="20"/>
      <w:bookmarkEnd w:id="21"/>
    </w:p>
    <w:p w:rsidR="002C3C7B" w:rsidRPr="000F536C" w:rsidRDefault="002C3C7B" w:rsidP="002C3C7B">
      <w:pPr>
        <w:rPr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Եղեգիս բնակավայրի վարչական տարածքում պայմանավորված ծովի մակարդակից բարձրությամբ և տեղադիրքով առանձնացվել են արոտատեղամասերի տեղաբաշխման 3 հիմնական լանդշաֆտային գոտիներ: Ներկայացնենք լանդշաֆտային գոտիների տարբեր հատվածներում առանձնացված արոտների արածեցման կարգի որոշ առանձնահատկություններ: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Պայմանավորված աշխարհագրական տեղադիրքով և կենսակլիմայական պայմաններով, բնակավայրի պայմաններում, խոշոր եղջերավորի արոտային շրջանը կազմում է շուրջ 190 օր (ապրիլի երրորդ տասնօրյակի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վերջից  մինչև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նոյեմբերի առաջին տասնօրյակը), իսկ մանր եղջերավորի (ոչխարի) արոտային շրջանը կազմում է 270 օր (մարտի առաջին տասնօրյակից մինչև դեկտեմբերի առաջին տասնօրյակը,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Լեռնատափաստանային գոտում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խոշոր եղջերավոր անասունների արածեցումը սկսվում է ապրիլի երրորդ տասնօրյակից: Այս գոտում տարարածված է համայնքային արոտավայրերի 5.59 </w:t>
      </w:r>
      <w:r w:rsidRPr="000F536C">
        <w:rPr>
          <w:rFonts w:ascii="Times Armenian" w:hAnsi="Times Armenian"/>
          <w:bCs w:val="0"/>
          <w:color w:val="auto"/>
          <w:spacing w:val="0"/>
          <w:sz w:val="16"/>
          <w:szCs w:val="16"/>
        </w:rPr>
        <w:t>%-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ը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75.61 հա): Սովորաբար այս արոտատեղամասում կազմակերպվում է վաղ գարնանային արոտային շրջանը: Աշնանային ժամանակահատվածում, մինջև մսուրային շրջանին անցնելը, որոշ արոտատեղամասեր կրկնակի անգամ օգտագործվում են: Ներկայում այս արոտատեղամասերում արոտօգտագործումն իրականացվում է անհավասարաչափ և անկանոն: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spacing w:val="0"/>
          <w:sz w:val="16"/>
          <w:szCs w:val="16"/>
        </w:rPr>
        <w:t xml:space="preserve">Մերձալպյան լեռնամարգագետնային 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գոտում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տարածված են</w:t>
      </w:r>
      <w:r w:rsidRPr="000F536C">
        <w:rPr>
          <w:rFonts w:ascii="Sylfaen" w:hAnsi="Sylfaen"/>
          <w:bCs w:val="0"/>
          <w:spacing w:val="0"/>
          <w:sz w:val="16"/>
          <w:szCs w:val="16"/>
        </w:rPr>
        <w:t xml:space="preserve"> արոտներից </w:t>
      </w:r>
      <w:r w:rsidRPr="000F536C">
        <w:rPr>
          <w:rFonts w:ascii="Arial Armenian" w:hAnsi="Arial Armenian"/>
          <w:bCs w:val="0"/>
          <w:color w:val="auto"/>
          <w:spacing w:val="0"/>
          <w:sz w:val="16"/>
          <w:szCs w:val="16"/>
        </w:rPr>
        <w:t>(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45.73 </w:t>
      </w:r>
      <w:r w:rsidRPr="000F536C">
        <w:rPr>
          <w:rFonts w:ascii="Times Armenian" w:hAnsi="Times Armenian"/>
          <w:bCs w:val="0"/>
          <w:color w:val="auto"/>
          <w:spacing w:val="0"/>
          <w:sz w:val="16"/>
          <w:szCs w:val="16"/>
        </w:rPr>
        <w:t>%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618 հա-ը: Այս գոտու առավել ցածրադիր հատվածներում տարածվող արոտավայրերում կազմակերպվում է ամառային և աշնանային արոտային շրջանը: Առավել բարձրադիր հատվածներում և պայմանավորված համայնքից  ունեցած հեռավորությամբ, հեռագնա պահվածքով կազմակերպվում է որոշ քանակով անասնագլխի ամառային և աշնանային արոտային շրջանը: Ներկայում այս գոտու հեռագնա արոտները օգտագործվում են թերի, խնդիրը հիմնականում պայմանավորված է հեռագնա պահվածք կազմակերպելուն անհրաժեշտ գիշերակացի մակատեղերի բացակայությամբ կամ քայքայված վիճակով:  Արոտատեղամասերում կայուն հեռագնա արոտօգտագործում իրականացնելու համար, անհրաժեշտ է նոր ենթակառուցվածքների ստեղծումը, քանի, որ նախկինում կառուցված ենթակառուցվածքներն հիմնականում քայքայվել և օգտագործման պիտանելիություն չունեն: Գտնում ենք, որ արոտավայրերում հեռագնա կայուն արոտօգտագործում իրականացնելու համար անհրաժեշտ է կենդանիների գիշերակացի համար նոր մակատեղի կառուցումը, ինչով և ապահովվելու է այս գոտու արոտավայրերի կայուն  օգտագործումն:    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Ալպյան բարձր լեռնային գոտում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տարածվում են արոտավայրերի ընդարձակ տարածքներ, որոնք կազմում են բնակավայրի արոտային ֆոնդի 48.68 %-ը (657.9 հա): Այս գոտու արոտները օգտագործվում են հեռագնա ճամբարային պահվածքի կազմակերպումով, մասնավորապես բտման կենդանիների համար: Պայմանավորված որոշ արոտատեղամասերում ջրելատեղերի բացակայությամբ այս գոտու առավել բարձրադիր և հեռավոր հատվածները հիմնականում չեն օգտագործվում, առավելապես օգտագործվում են համեմատաբար ցածրադիր և ջրելատեղերին առավել մոտ արոտավայրերը, որտեղ արոտօգտագործումն իրականացնում են հեռագնա ճամբարային պահվածքով: 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Աշնանային ժամանակահատվածում, մինչև մսուրային շրջանին անցնելը, պայմանավորված բարձրադիր արոտավայրերում կլիմայական հնարավոր անբարենպաստ պայմաններով, արոտակերի ապահովման համար որոշակի ժամանակահատված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օգտագործվում են նաև այլընտրանքային կերապահովման տարածքների` բերքահավաք կատարած վարելահողերի, բնական խոտհարքների ինչպես նաև այլ հողատեսքերի մնացորդային խոզանն, վերաճած ահլուկն ու բուսածածկը:</w:t>
      </w:r>
    </w:p>
    <w:p w:rsidR="002C3C7B" w:rsidRPr="000F536C" w:rsidRDefault="002C3C7B" w:rsidP="002C3C7B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Որպես արոտակերի ապահովման այլընտրանքային միջոց, արոտի նպատակով օգտագործվում են նաև 1415.95 հա այլ հողատեսքերի որոշ հատվածների բուսածածկը</w:t>
      </w:r>
    </w:p>
    <w:p w:rsidR="002C3C7B" w:rsidRPr="000F536C" w:rsidRDefault="002C3C7B" w:rsidP="002C3C7B">
      <w:pPr>
        <w:spacing w:line="408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22" w:name="_Toc17796550"/>
      <w:bookmarkStart w:id="23" w:name="_Toc524700603"/>
      <w:bookmarkStart w:id="24" w:name="_Toc402354612"/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5.1. </w:t>
      </w:r>
      <w:r w:rsidRPr="000F536C">
        <w:rPr>
          <w:rFonts w:ascii="Sylfaen" w:hAnsi="Sylfaen" w:cs="Sylfaen"/>
          <w:i w:val="0"/>
          <w:color w:val="auto"/>
          <w:sz w:val="16"/>
          <w:szCs w:val="16"/>
          <w:lang w:val="en-US"/>
        </w:rPr>
        <w:t>Բնակավայրի</w:t>
      </w:r>
      <w:r w:rsidRPr="000F536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արոտների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խոտհարքների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բուսածածկ</w:t>
      </w:r>
      <w:r w:rsidRPr="000F536C">
        <w:rPr>
          <w:rFonts w:ascii="Sylfaen" w:hAnsi="Sylfaen" w:cs="Sylfaen"/>
          <w:i w:val="0"/>
          <w:color w:val="auto"/>
          <w:sz w:val="16"/>
          <w:szCs w:val="16"/>
          <w:lang w:val="en-US"/>
        </w:rPr>
        <w:t>ն</w:t>
      </w:r>
      <w:r w:rsidRPr="000F536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  <w:lang w:val="en-US"/>
        </w:rPr>
        <w:t>ու</w:t>
      </w:r>
      <w:r w:rsidRPr="000F536C">
        <w:rPr>
          <w:rFonts w:ascii="Sylfaen" w:hAnsi="Sylfaen"/>
          <w:i w:val="0"/>
          <w:color w:val="auto"/>
          <w:sz w:val="16"/>
          <w:szCs w:val="16"/>
          <w:lang w:val="en-US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բերքատվության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ցուցանիշները</w:t>
      </w:r>
      <w:bookmarkEnd w:id="22"/>
      <w:bookmarkEnd w:id="23"/>
      <w:bookmarkEnd w:id="24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Արոտավայրերում և բնական խոտհարքներում դաշտային հետազոտություններն (գնահատման նպատակով) իրականացվել են ըստ Գերմանիայի միջազգային համագործակցության ընկերության (ԳՄՀԸ) կողմից իրականացվող «Կենսաբազմազանության կայուն կառավարում, Հարավային Կովկաս» ծրագրի շրջանակներում մշակված “Ամառային արոտների մշտադիտարկման ձեռնարկ Հայաստան”-ի մեթոդաբանության, ինչպես նաև ըստ Կոլորադոյի գիտության և տեխնոլոգիայի ազգային կենտրոնի` տարածքների կառավարման բյուրոյի կողմից մշակված “Էկոլոգիական տեղանքների նկարագրություն տեխնիկական հանձնարարականների (Technical Reference 1737-7 of Ecologial site Inventory, Colorado, 2001, NSTC, BLM)”, հաշվի են առնվել նաև “Արոտավայրերի և խոտհարքների օգտագործման” կանոնակարգի վերաբերյալ ՀՀ Կառավարության 2011թ.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ապրիլի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14-ի N 389-ն որոշման հիմնական դրույթները: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Արածեցման ազդեցությունը արոտավայրերի բուսածածկի վրա գնահատելու նպատակով համեմատվել են լանդշաֆտային գոտու մաքուր բուսածածկերի միջին տոկոսը (հանվել են քարքարոտ տարածքները, ժայռերը, ձորակները, թփերի զբաղեցրած տարածքը, ճանապարհները և այլն), տարածքների պոտենցիալ արդյունավետությունը և արածեցման թողած ազդեցության չափը:       </w:t>
      </w:r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5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Բուսածածկի տոկոսը և արածեցման ազդեցությունը կենսազանգվածի ելքի վրա գոտու պայմաններում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1560"/>
        <w:gridCol w:w="1417"/>
        <w:gridCol w:w="1559"/>
        <w:gridCol w:w="2126"/>
      </w:tblGrid>
      <w:tr w:rsidR="002C3C7B" w:rsidRPr="000F536C" w:rsidTr="002C3C7B">
        <w:trPr>
          <w:cantSplit/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Արոտի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վիճակ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Բարձրու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թյուն, 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Բուսածածկ, 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vertAlign w:val="superscript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Բերքատվություն, կգ/հա</w:t>
            </w:r>
          </w:p>
        </w:tc>
      </w:tr>
      <w:tr w:rsidR="002C3C7B" w:rsidRPr="000F536C" w:rsidTr="002C3C7B">
        <w:trPr>
          <w:cantSplit/>
          <w:trHeight w:val="33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Լեռնատափաստանային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1600-2300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1430</w:t>
            </w:r>
          </w:p>
        </w:tc>
      </w:tr>
      <w:tr w:rsidR="002C3C7B" w:rsidRPr="000F536C" w:rsidTr="002C3C7B">
        <w:trPr>
          <w:cantSplit/>
          <w:trHeight w:val="33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410</w:t>
            </w:r>
          </w:p>
        </w:tc>
      </w:tr>
      <w:tr w:rsidR="002C3C7B" w:rsidRPr="000F536C" w:rsidTr="002C3C7B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2300-2700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1720</w:t>
            </w:r>
          </w:p>
        </w:tc>
      </w:tr>
      <w:tr w:rsidR="002C3C7B" w:rsidRPr="000F536C" w:rsidTr="002C3C7B">
        <w:trPr>
          <w:cantSplit/>
          <w:trHeight w:val="218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560</w:t>
            </w:r>
          </w:p>
        </w:tc>
      </w:tr>
      <w:tr w:rsidR="002C3C7B" w:rsidRPr="000F536C" w:rsidTr="002C3C7B">
        <w:trPr>
          <w:cantSplit/>
          <w:trHeight w:val="201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չարածեցված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2700-3100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1580</w:t>
            </w:r>
          </w:p>
        </w:tc>
      </w:tr>
      <w:tr w:rsidR="002C3C7B" w:rsidRPr="000F536C" w:rsidTr="002C3C7B">
        <w:trPr>
          <w:cantSplit/>
          <w:trHeight w:val="21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արածեցված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keepLines/>
              <w:spacing w:line="360" w:lineRule="auto"/>
              <w:jc w:val="center"/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Arial"/>
                <w:bCs w:val="0"/>
                <w:color w:val="auto"/>
                <w:sz w:val="16"/>
                <w:szCs w:val="16"/>
              </w:rPr>
              <w:t>580</w:t>
            </w:r>
          </w:p>
        </w:tc>
      </w:tr>
    </w:tbl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Արոտների և խոտհարքների արտադրողականության և արդյունավետության որոշման համար, ըստ միատարության չափանիշների ընտրված արոտային և խոտհարքային տեղամասերից վերցվել են բուսական նմուշներ, օգտագործելով 10000 սմ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  <w:vertAlign w:val="superscript"/>
        </w:rPr>
        <w:t>2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-ոց “մետրովկաներ”, որոշվել է դրանց թաց և չոր կշիռը: Առանձնացվել են հիմնական մարգագետնային բուսախմբերը (հացազգի, բակլազգի, տարախոտ և վնասակար ու թունավոր), որոշվել հիմնական տեսակները, ինչպես նաև բուսաբանատնտեսական խմբավորումների պարունակության տոկոսը: Ըստ բուսական նմուշի չոր կշռի, առկա բուսախմբակցությունների և տեսակային կազմերի վերաճի հնարավորու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թյան, հաշվարկվել և ճշգրտվել են ողջ վեգետացիոն ժամանակահատվածում միավոր մակերեսների (1 հա) հնարավոր բերքատվության ցուցանիշները յուրաքանչյուր բնական գոտու պայմաններում:         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Լեռնատափաստանային գոտու արոտավայրերի բուսածածկում` 53.3 % կազմել են դաշտավլուկազգիները, 39.5 % տարախոտեր, 7.2 % բակլազգիներ,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դաշտավլուկազգի-տարախոտային տափաստանային բուսակացք: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Մերձալպյան գոտու արոտավայրերի բուսածածկում` 56.7 % կազմել են դաշտավլուկազգիները, 30.2 % տարախոտեր, 13.2 % բակլազգիներ,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ձևավորված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է դաշտավլուկազգի-տարախոտաբակլազգի մերձալպյան բարձրախոտային բուսակացք: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Ալպյան գոտու արոտավայրերի բուսածածկում` 63.5 % կազմել են դաշտավլուկազգիները, 29.1% տարախոտեր, 7.4 % բակլազգիներ, ձևավորված է դաշտավլուկազգի- տարախոտաբակլազգի լեռնամարգագետնային բուսակացք: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Ինչպես երևում է (աղյուսակ 5), հողի խոտաբույսերով բուսապատվածության աստիճանը չարածեցված տարածքներում տատանվել է 70-80 %-ի սահմաններում, իսկ արածեցված տարածքներում 49-58 %, ընդ որում ամենացածր ցուցանիշ գրանցվել է մասամբ դեգրադացված, բնակավայրամերձ հատվածի ցածրադիր արոտատեղամասերում: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Հարկ է նշել, որ բնակավայրամերձ արոտների բուսապատվածության տոկոսի հաշվարկման ժամանակ հաշվի չեն առնվել առկա բուսազուրկ նախրաքաշերը և մերկ արահետները, որոնք զգալի տոկոս են կազմում որոշ արոտավայրերում: ՈՒսումնասիրություններով պարզվել է, որ արածեցված արոտներում մնացորդային չոր բուսազանգվածի կշիռը կազմում է ձևավորվող բերքի շուրջ 1/3-մասը: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վարչական տարածքում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հաշվառված  բնական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խոտհարքներում ուսումնասիրվել և գնահատվել է ընդհանուր բուսապատվածությունն ու բուսածածկի բուսաբանական տեսակների կազմը, հաշվարկվել է ընդհանուր բերքատվությունը:</w:t>
      </w:r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                                        Աղյուսակ-6</w:t>
      </w:r>
    </w:p>
    <w:p w:rsidR="002C3C7B" w:rsidRPr="000F536C" w:rsidRDefault="002C3C7B" w:rsidP="002C3C7B">
      <w:pPr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Խոտհարքների բուսածածկի բուսաբանատնտեսական խմբավորումներն ու արտադրողականությունը</w:t>
      </w:r>
    </w:p>
    <w:tbl>
      <w:tblPr>
        <w:tblW w:w="94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5"/>
        <w:gridCol w:w="1275"/>
        <w:gridCol w:w="1275"/>
        <w:gridCol w:w="1274"/>
        <w:gridCol w:w="1417"/>
        <w:gridCol w:w="1558"/>
        <w:gridCol w:w="1421"/>
      </w:tblGrid>
      <w:tr w:rsidR="002C3C7B" w:rsidRPr="000F536C" w:rsidTr="002C3C7B">
        <w:trPr>
          <w:cantSplit/>
          <w:trHeight w:val="268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Տարածքը, </w:t>
            </w:r>
          </w:p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հա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Բուսա-ծածկ, 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Բուսաբանական միջին կազմը, 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%</w:t>
            </w: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ՉԶ-ի միջին բերքը, կգ/հա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Համախառն բերքը, կգ </w:t>
            </w:r>
          </w:p>
        </w:tc>
      </w:tr>
      <w:tr w:rsidR="002C3C7B" w:rsidRPr="000F536C" w:rsidTr="002C3C7B">
        <w:trPr>
          <w:cantSplit/>
          <w:trHeight w:val="64"/>
        </w:trPr>
        <w:tc>
          <w:tcPr>
            <w:tcW w:w="1276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Հացազգի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Բակլազգի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Տարախոտ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</w:p>
        </w:tc>
      </w:tr>
      <w:tr w:rsidR="002C3C7B" w:rsidRPr="000F536C" w:rsidTr="002C3C7B">
        <w:trPr>
          <w:cantSplit/>
          <w:trHeight w:val="417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Զ =1քմ ՉԶ x 1հա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Է = Ա x Զ</w:t>
            </w:r>
          </w:p>
        </w:tc>
      </w:tr>
      <w:tr w:rsidR="002C3C7B" w:rsidRPr="000F536C" w:rsidTr="002C3C7B">
        <w:trPr>
          <w:cantSplit/>
          <w:trHeight w:val="64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79.83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63.2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24.5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2500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199575</w:t>
            </w:r>
          </w:p>
        </w:tc>
      </w:tr>
    </w:tbl>
    <w:p w:rsidR="002C3C7B" w:rsidRPr="000F536C" w:rsidRDefault="002C3C7B" w:rsidP="002C3C7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– 1հա-ի միջին բերքը հաշվարկվել է հիմնվելով 1քմ հաշվարկային տարածքներից ստացված միջին նմուշի չոր զանգվածի (ՉԶ) կշռին: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6-ում ներկայացված է բնական խոտհարքների միջին բուսապատվածությունը, ձևավորվող բուսածածկերի բուսաբանական միջին կազմը, ինչպես նաև միջին բերքատվությունն ու համախառն բերքը: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Խոտհարքային տարածքներից վերցված բուսածածկի նմուշներում բուսաբանական խմբակցությունների պարզաբանում-հաշվարկով պարզվել է, որ բուսածածկերում բավականին բարձր է տարախոտային տեսակների պարունակությունը (24.5%), որոնց մեջ զգալի է կոպիտ և վատորակ տեսակների քանակությունը, ինչով պայմանավորված խոտի որակը բարձր չէ: Բուսազանգվածում համեմատաբար ցածր է բակլազգիների միջին պարունակությունը (12.3 %): Խնդիրը առավելապես պայմանավորված է խոտհարքների անկանոն կառավարմամբ, տարիներ շարունակ նույն ժամկետներում իրականացվող խոտհունձով կրճատվել է սերմերով բազմացող տեսակների ինքնացանությամբ վերարտադրման հնարավորությունը:  Խոտհարքների արտադրողականությունը բարձրացնելու և որակական կազմը բարելավելու համար, անհրաժեշտ է տարբեր խոտհարքաբաժիններում բարձրորակ կերաբույսերի (դաշտավլուկազգի, բակլազգի) հասունացման տարբեր փուլերում հարի ժամկետների սահմանումը խոտհարքաշրջանառության իրականացումով, ապահովելու համար ժամանակ առ ժամանակ կերաբույսերի սերմերի հասունացումն ու  միջավայրում տարածումը: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բնական արոտներում և խոտհարքներում գերակշիռ մեծամասնություն կազմում են դաշտավլուկազգի և տարախոտային տեսակները, որպես կանոն բակլազգիները համեմատաբար սակավ են: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Առավել տարածված բույսեր են` Festuca ovina, Festuca pratense,   Dactylis glomerata, Phleum pratense, Poa pratense, Lotus corniculatus, Lotus pratense, Thimus, Achillea millefolium </w:t>
      </w:r>
      <w:hyperlink r:id="rId27" w:history="1">
        <w:r w:rsidRPr="000F536C">
          <w:rPr>
            <w:rStyle w:val="a3"/>
            <w:rFonts w:ascii="Sylfaen" w:hAnsi="Sylfaen"/>
            <w:bCs w:val="0"/>
            <w:color w:val="auto"/>
            <w:spacing w:val="0"/>
            <w:sz w:val="16"/>
            <w:szCs w:val="16"/>
          </w:rPr>
          <w:t>L.</w:t>
        </w:r>
      </w:hyperlink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, Taraxacum officinale, Astragalus galegiformis, Trifolium medium, Tr. pratense, Tr. repens, O. transcaucasica, Vicia angustifolia, Pyrethhrum myriophyllum, Carduus acanthoides և այլն: Բարձրարժեք բակլազգի տեսակները համեմատաբար սակավ են, մասնավորապես ցածրադիր գոտու դեգրադացված արոտներում: Վերջիններիս առավել տարածվածություն գրանցվել է լեռնանտառայի գոտու անտառամերձ հատվածներում և մերձալպյան  գոտու առավել ցածրադիր արոտներում: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2C3C7B" w:rsidRPr="000F536C" w:rsidRDefault="002C3C7B" w:rsidP="002C3C7B">
      <w:pPr>
        <w:pStyle w:val="2"/>
        <w:spacing w:before="0" w:after="0"/>
        <w:jc w:val="center"/>
        <w:rPr>
          <w:rFonts w:ascii="Sylfaen" w:hAnsi="Sylfaen" w:cs="Sylfaen"/>
          <w:i w:val="0"/>
          <w:color w:val="auto"/>
          <w:sz w:val="16"/>
          <w:szCs w:val="16"/>
        </w:rPr>
      </w:pPr>
      <w:bookmarkStart w:id="25" w:name="_Toc17796551"/>
      <w:bookmarkStart w:id="26" w:name="_Toc524700604"/>
      <w:bookmarkStart w:id="27" w:name="_Toc402354613"/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5.2.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Արոտավայրերի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կառավարման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անասնապահության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զարգացման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նախադրյալները</w:t>
      </w:r>
      <w:bookmarkEnd w:id="25"/>
      <w:bookmarkEnd w:id="26"/>
      <w:bookmarkEnd w:id="27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28" w:name="_Toc275304875"/>
      <w:bookmarkStart w:id="29" w:name="_Toc275297860"/>
      <w:bookmarkStart w:id="30" w:name="_Toc275295647"/>
      <w:bookmarkStart w:id="31" w:name="_Toc275133835"/>
      <w:bookmarkStart w:id="32" w:name="_Toc275133472"/>
      <w:bookmarkStart w:id="33" w:name="_Toc275133426"/>
      <w:bookmarkStart w:id="34" w:name="_Toc275133066"/>
      <w:bookmarkStart w:id="35" w:name="_Toc275132918"/>
      <w:bookmarkStart w:id="36" w:name="_Toc275132640"/>
      <w:bookmarkStart w:id="37" w:name="_Toc275132410"/>
      <w:bookmarkStart w:id="38" w:name="_Toc275132145"/>
      <w:bookmarkStart w:id="39" w:name="_Toc275131586"/>
      <w:bookmarkStart w:id="40" w:name="_Toc76376824"/>
      <w:bookmarkStart w:id="41" w:name="_Toc76375841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Բնակավայրամերձ արոտավայրերում, որտեղ աշնանը գրեթե մինչև կայուն ցուրտ եղանակի ձևավորվելը պահվում են արածող կենդանիները, օգտագործվում է կրկնակի անգամ, և որպես կանոն ուշադրություն չի դարձվում բուսածածկի մնացորդային խոզանի պահպանմանը, այսինքն նման տարածքներն գերարածեցվում են նպաստելով բուսածածկի դեգրադացիայի ձևավորման և նրա հետագա խորացմանը: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որակը, նվազում է հանդակի արտադրողականությունը, կրճատվում բուսապատվածությունը և հիմք է ստեղծվում դեգրադացիայի խորանալու և հողերի էրոզիայի համար, մեծանում ընդհանուր կենսաբազմազանության վտանգմանն ուղղված ռիսկերը: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Մոտավորապես այդ իրավիճակն է տիրում բնակավայրին հարակից ուսումնասիրված տարբեր արոտներում և հատկապես լեռնաանտառային գոտում: Այս երևույթի խորացումը կանխելու համար անհրաժեշտ է կիրառել արոտօգտագործման նոր համակարգ, ըստ որի օգտագործվող արոտում բուսածածկի որոշակի մասը պետք է թողնել որպես խոզան, որը սինթեզում է սննդատարրեր, որոնք անհրաժեշտ են խոտաբույսերի հետագա վերաճի և ձմեռային հանգստի համար: Այս գոտու որոշ դեգրադացված արոտատեղեր նպատակահարմար է թողնել հանգստի (առանց արածեցման 1-2 տարի), կիրառել արոտաշրջանառություն, բուսածածկի և բուսաբանական կազմի վերականգման նպատակով: Քանի որ արոտների օգտագործման չափանիշները հիմնվում են բույսերի ֆենոլոգիական փուլերի ուսումնասիրու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թյուն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ների, տեղի կլիմայի և արածեցման նկատմամբ բուսածածկի դիմադրո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ղականության գնահատման վրա, ուստի դիտարկենք արոտային համակեցությունների գոյատևման երեք հիմնական ժամանակահատվածներ, որոնք ուրույն ազդեցություն ունեն բուսածածկի հետագա ձևավորման և արդյունավետության վրա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, հետևաբար կարևոր նշանակություն ունեն նաև արոտների ֆունկցիոնալ կայունության պահպանման առումով: </w:t>
      </w:r>
    </w:p>
    <w:p w:rsidR="002C3C7B" w:rsidRPr="000F536C" w:rsidRDefault="002C3C7B" w:rsidP="002C3C7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2" w:name="_Toc76376825"/>
      <w:bookmarkStart w:id="43" w:name="_Toc76375842"/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Աշուն/ձմեռ: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Հանգստի այս փուլում գտնվող միամյա և բազմամյա խոտաբույսերը կարող են բարձր բերք ապահովել, եթե արածեցման ընթացքում բույսերը արմատախիլ  չարվեն կամ ուժեղ տրորման հետևանքով տեղի չունենա հողերի պնդացում և մերկացում: Հիմնականում այս ժամանակահատվածից է կախված հետագա ձևավորվող բուսազանգվածի մինչև 70%-ի ստացումը</w:t>
      </w:r>
      <w:bookmarkEnd w:id="42"/>
      <w:bookmarkEnd w:id="43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:</w:t>
      </w:r>
    </w:p>
    <w:p w:rsidR="002C3C7B" w:rsidRPr="000F536C" w:rsidRDefault="002C3C7B" w:rsidP="002C3C7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44" w:name="_Toc76376826"/>
      <w:bookmarkStart w:id="45" w:name="_Toc76375843"/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lastRenderedPageBreak/>
        <w:t>Վաղ գարուն: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Ձմեռվա հանգստի շրջանում բույսերը ծախսում են պաշարված սննդանյութերի մեծ մասը: Այս ժամանակահատվածում` զով և խոնավ կլիմայի պայմաններում, խոտաբույսերը սկսում են ինտենսիվորեն աճել և ֆոտոսինթեզի շնորհիվ վերականգնել ածխաջրերի, սպիտակուցների և այլ սննդանյութերի անհրաժեշտ պաշարներ: Սա բույսերի համար զգայուն մի ժամանակաշրջան է և պահանջվում է մշակել արածեցման հատուկ համակարգ: Բացի այդ կարիք կա իրականացնել որոշ ագրոմիջոցառումներ` բույսերի աճը խթանելու նպատակով: Տարվա այս եղանակին արածեցումը չպետք է բերի բերքի (արոտականաչի) 30%-ից ավելի կորստի: Բույսերը այդ ընթացքում կարող են ապահովել ավելի բարձր արդյունավետություն, եթե արգելվի տարածքի վաղ ժամկետներում արածեցումը և կենդանիների մուտքը տվյալ տարածք, քանի դեռ հողի մեջ առկա է խոնավության որոշ պաշարներ, որոնք էլ կարող են ապահովել բույսերի բնականոն վերաճը</w:t>
      </w:r>
      <w:bookmarkEnd w:id="44"/>
      <w:bookmarkEnd w:id="45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2C3C7B" w:rsidRPr="000F536C" w:rsidRDefault="002C3C7B" w:rsidP="002C3C7B">
      <w:pPr>
        <w:numPr>
          <w:ilvl w:val="0"/>
          <w:numId w:val="2"/>
        </w:numPr>
        <w:spacing w:line="360" w:lineRule="auto"/>
        <w:ind w:left="709" w:hanging="425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Ուշ գարուն/ամառ: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Այս էտապում իհարկե խոտի աճը շարունակվում է, սակայն հողի խոնավությունը սկսում է դառնալ հիմնական սահմանափակող գործոն և ջերմաստիճանի հետագա բարձրացումը ստիպում է բույսերին անցնել պասիվ փուլի: Արոտների թույլատրելի օգտագործման չափանիշը չպետք է իջնի 70%-ի մակարդակից, որպեսզի ապահովված լինի խոտաբույսերի հետագա ահլուկավորման և վերաճելու հնարավորությունները: Այս ժամանակա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հատվածում ձևավորվում է բերքի հիմնական մասը: </w:t>
      </w:r>
    </w:p>
    <w:p w:rsidR="002C3C7B" w:rsidRPr="000F536C" w:rsidRDefault="002C3C7B" w:rsidP="002C3C7B">
      <w:pPr>
        <w:pStyle w:val="1"/>
        <w:spacing w:before="0" w:after="0" w:line="276" w:lineRule="auto"/>
        <w:jc w:val="center"/>
        <w:rPr>
          <w:rFonts w:ascii="Sylfaen" w:hAnsi="Sylfaen"/>
          <w:sz w:val="16"/>
          <w:szCs w:val="16"/>
        </w:rPr>
      </w:pPr>
      <w:bookmarkStart w:id="46" w:name="_Toc524700605"/>
      <w:bookmarkStart w:id="47" w:name="_Toc402354614"/>
    </w:p>
    <w:p w:rsidR="002C3C7B" w:rsidRPr="000F536C" w:rsidRDefault="002C3C7B" w:rsidP="002C3C7B">
      <w:pPr>
        <w:pStyle w:val="1"/>
        <w:spacing w:before="0" w:after="0" w:line="276" w:lineRule="auto"/>
        <w:jc w:val="center"/>
        <w:rPr>
          <w:rFonts w:ascii="Sylfaen" w:hAnsi="Sylfaen" w:cs="Sylfaen"/>
          <w:sz w:val="16"/>
          <w:szCs w:val="16"/>
        </w:rPr>
      </w:pPr>
      <w:bookmarkStart w:id="48" w:name="_Toc17796552"/>
      <w:r w:rsidRPr="000F536C">
        <w:rPr>
          <w:rFonts w:ascii="Sylfaen" w:hAnsi="Sylfaen"/>
          <w:sz w:val="16"/>
          <w:szCs w:val="16"/>
        </w:rPr>
        <w:t xml:space="preserve">6. </w:t>
      </w:r>
      <w:r w:rsidRPr="000F536C">
        <w:rPr>
          <w:rFonts w:ascii="Sylfaen" w:hAnsi="Sylfaen" w:cs="Sylfaen"/>
          <w:sz w:val="16"/>
          <w:szCs w:val="16"/>
        </w:rPr>
        <w:t>Չոր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կենսազանգվածի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կուտակման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հնարավորությունն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ըստ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բնակլիմայական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գոտիների</w:t>
      </w:r>
      <w:bookmarkEnd w:id="46"/>
      <w:bookmarkEnd w:id="47"/>
      <w:bookmarkEnd w:id="48"/>
    </w:p>
    <w:p w:rsidR="002C3C7B" w:rsidRPr="000F536C" w:rsidRDefault="002C3C7B" w:rsidP="002C3C7B">
      <w:pPr>
        <w:rPr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Խոզանի բարձրության հաշվարկ: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Ուսումնասիրությունների հիմնական խնդիրներից է եղել պարզել բնակավայրի վարչական տարածքում հաշվառված կերահանդակների պոտենցիալ հնարավո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 xml:space="preserve">րությունը (արածեցման սխեմաներ մշակելու համար), հաշվի առնելով մի շարք գործոններ, այդ թվում նաև խոզանի բարձրությունը (աղ.7):   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                               Աղյուսակ 7 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color w:val="auto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Եղեգիս բնակավայրի արոտավայրերի խոզանի բարձրությունն ըստ գոտիների</w:t>
      </w:r>
    </w:p>
    <w:tbl>
      <w:tblPr>
        <w:tblW w:w="0" w:type="auto"/>
        <w:jc w:val="center"/>
        <w:tblInd w:w="-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6"/>
        <w:gridCol w:w="4222"/>
      </w:tblGrid>
      <w:tr w:rsidR="002C3C7B" w:rsidRPr="000F536C" w:rsidTr="002C3C7B">
        <w:trPr>
          <w:cantSplit/>
          <w:trHeight w:val="56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Խոզանի   բարձրությունը,  սմ</w:t>
            </w:r>
          </w:p>
        </w:tc>
      </w:tr>
      <w:tr w:rsidR="002C3C7B" w:rsidRPr="000F536C" w:rsidTr="002C3C7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2C3C7B" w:rsidRPr="000F536C" w:rsidTr="002C3C7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10-12</w:t>
            </w:r>
          </w:p>
        </w:tc>
      </w:tr>
      <w:tr w:rsidR="002C3C7B" w:rsidRPr="000F536C" w:rsidTr="002C3C7B">
        <w:trPr>
          <w:cantSplit/>
          <w:trHeight w:val="380"/>
          <w:jc w:val="center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4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8-10</w:t>
            </w:r>
          </w:p>
        </w:tc>
      </w:tr>
    </w:tbl>
    <w:p w:rsidR="002C3C7B" w:rsidRPr="000F536C" w:rsidRDefault="002C3C7B" w:rsidP="002C3C7B">
      <w:pPr>
        <w:spacing w:line="360" w:lineRule="auto"/>
        <w:ind w:firstLine="720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«Արոտների և խոտհարքների օգտագործման կարգի» վերաբերյալ ՀՀ Կառավարության 2011թ № 389-ն որոշման համաձայն, կենդանիների արածեցումը պետք է սկսել գարնանը, բույսերի վերաճը սկսելուց 15-18 օր հետո և երբ բույսերի բարձրությունը հողի մակերեսից կազմում է` </w:t>
      </w:r>
    </w:p>
    <w:p w:rsidR="002C3C7B" w:rsidRPr="000F536C" w:rsidRDefault="002C3C7B" w:rsidP="002C3C7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Տափաստանային գոտում  10 -12սմ,</w:t>
      </w:r>
    </w:p>
    <w:p w:rsidR="002C3C7B" w:rsidRPr="000F536C" w:rsidRDefault="002C3C7B" w:rsidP="002C3C7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Մերձալպյան գոտում         10-12սմ,</w:t>
      </w:r>
    </w:p>
    <w:p w:rsidR="002C3C7B" w:rsidRPr="000F536C" w:rsidRDefault="002C3C7B" w:rsidP="002C3C7B">
      <w:pPr>
        <w:numPr>
          <w:ilvl w:val="0"/>
          <w:numId w:val="4"/>
        </w:numPr>
        <w:spacing w:line="360" w:lineRule="auto"/>
        <w:ind w:left="0"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Ալպյան  գոտում                 8-10սմ: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Ելնելով այս հանգամանքից, ինչպես նաև Եղեգիս բնակավայրի վարչական տարածքի լանդշաֆտային գոտիականության առանձնահատկություններից, առաջարկվում է գարնանային արածեցումը սկսել տափաստանային  և մերձալպյան գոտիներում 10 սմ իսկ ալպյան  գոտում 8-10 սմ խոտածածկի բարձրության առկայության պայմաններում: Հաշվի առնելով հողակլիմայական և լանդշաֆտային առանձնահատկությունները առաջարկում ենք օգտագործել աղյուսակ 7-ում բերված տվյալները: </w:t>
      </w:r>
      <w:bookmarkStart w:id="49" w:name="_Toc402354615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pStyle w:val="2"/>
        <w:spacing w:before="0" w:after="0"/>
        <w:jc w:val="center"/>
        <w:rPr>
          <w:rFonts w:ascii="Sylfaen" w:hAnsi="Sylfaen" w:cs="Cambria"/>
          <w:i w:val="0"/>
          <w:color w:val="auto"/>
          <w:sz w:val="16"/>
          <w:szCs w:val="16"/>
          <w:lang w:val="en-US"/>
        </w:rPr>
      </w:pPr>
      <w:bookmarkStart w:id="50" w:name="_Toc17796553"/>
      <w:bookmarkStart w:id="51" w:name="_Toc524700606"/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6.1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Բնակավայրի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կերահանդակներից</w:t>
      </w:r>
      <w:r w:rsidRPr="000F536C">
        <w:rPr>
          <w:rFonts w:ascii="Sylfaen" w:hAnsi="Sylfaen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այլընտրանքային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կերապահովմանտարածքներից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ստացվող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չոր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զանգվածի</w:t>
      </w:r>
      <w:bookmarkStart w:id="52" w:name="_Toc402354616"/>
      <w:bookmarkEnd w:id="49"/>
      <w:bookmarkEnd w:id="50"/>
    </w:p>
    <w:p w:rsidR="002C3C7B" w:rsidRPr="000F536C" w:rsidRDefault="002C3C7B" w:rsidP="002C3C7B">
      <w:pPr>
        <w:pStyle w:val="2"/>
        <w:spacing w:before="0" w:after="0"/>
        <w:jc w:val="center"/>
        <w:rPr>
          <w:rFonts w:ascii="Sylfaen" w:hAnsi="Sylfaen"/>
          <w:i w:val="0"/>
          <w:color w:val="auto"/>
          <w:sz w:val="16"/>
          <w:szCs w:val="16"/>
        </w:rPr>
      </w:pPr>
      <w:bookmarkStart w:id="53" w:name="_Toc17796554"/>
      <w:r w:rsidRPr="000F536C">
        <w:rPr>
          <w:rFonts w:ascii="Sylfaen" w:hAnsi="Sylfaen" w:cs="Sylfaen"/>
          <w:i w:val="0"/>
          <w:color w:val="auto"/>
          <w:sz w:val="16"/>
          <w:szCs w:val="16"/>
        </w:rPr>
        <w:t>և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արածեցման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օրերի</w:t>
      </w:r>
      <w:r w:rsidRPr="000F536C">
        <w:rPr>
          <w:rFonts w:ascii="Sylfaen" w:hAnsi="Sylfaen" w:cs="Cambria"/>
          <w:i w:val="0"/>
          <w:color w:val="auto"/>
          <w:sz w:val="16"/>
          <w:szCs w:val="16"/>
        </w:rPr>
        <w:t xml:space="preserve"> </w:t>
      </w:r>
      <w:r w:rsidRPr="000F536C">
        <w:rPr>
          <w:rFonts w:ascii="Sylfaen" w:hAnsi="Sylfaen" w:cs="Sylfaen"/>
          <w:i w:val="0"/>
          <w:color w:val="auto"/>
          <w:sz w:val="16"/>
          <w:szCs w:val="16"/>
        </w:rPr>
        <w:t>քանակը</w:t>
      </w:r>
      <w:bookmarkEnd w:id="51"/>
      <w:bookmarkEnd w:id="52"/>
      <w:bookmarkEnd w:id="53"/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8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4" w:name="RANGE!A29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Արոտավայրերի արտադրողականությունը և առավելագույն արածեցման օրերը</w:t>
      </w:r>
      <w:bookmarkEnd w:id="54"/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1134"/>
        <w:gridCol w:w="850"/>
        <w:gridCol w:w="1418"/>
        <w:gridCol w:w="1841"/>
        <w:gridCol w:w="1560"/>
      </w:tblGrid>
      <w:tr w:rsidR="002C3C7B" w:rsidRPr="000F536C" w:rsidTr="002C3C7B">
        <w:trPr>
          <w:trHeight w:val="7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Գոտիներ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Տարածք, հա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ՉԶ, կգ/հա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ՉԶ, կգ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Հաստատագրված 70% օգտագործում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Արածեցման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օրեր**</w:t>
            </w:r>
          </w:p>
        </w:tc>
      </w:tr>
      <w:tr w:rsidR="002C3C7B" w:rsidRPr="000F536C" w:rsidTr="002C3C7B">
        <w:trPr>
          <w:trHeight w:val="39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Դ=Բ x Գ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Ե=Դ x 70%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Զ=Ե/3311.9 կգ/օր</w:t>
            </w:r>
          </w:p>
        </w:tc>
      </w:tr>
      <w:tr w:rsidR="002C3C7B" w:rsidRPr="000F536C" w:rsidTr="002C3C7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Տափաստանային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108122.3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75685.6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</w:t>
            </w:r>
          </w:p>
        </w:tc>
      </w:tr>
      <w:tr w:rsidR="002C3C7B" w:rsidRPr="000F536C" w:rsidTr="002C3C7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Մերձալպյան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1720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1062960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744072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225</w:t>
            </w:r>
          </w:p>
        </w:tc>
      </w:tr>
      <w:tr w:rsidR="002C3C7B" w:rsidRPr="000F536C" w:rsidTr="002C3C7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Ալպյան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657.9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1039482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727637.4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220</w:t>
            </w:r>
          </w:p>
        </w:tc>
      </w:tr>
      <w:tr w:rsidR="002C3C7B" w:rsidRPr="000F536C" w:rsidTr="002C3C7B">
        <w:trPr>
          <w:trHeight w:val="5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1351.51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2210564.3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1547395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468</w:t>
            </w:r>
          </w:p>
        </w:tc>
      </w:tr>
    </w:tbl>
    <w:p w:rsidR="002C3C7B" w:rsidRPr="000F536C" w:rsidRDefault="002C3C7B" w:rsidP="002C3C7B">
      <w:pPr>
        <w:spacing w:line="360" w:lineRule="auto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Ծանոթություն`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լանդշաֆտային գոտիներում արոտների բերքատվությունն ու արոտօգտագործման օրերի քանակը հաշվարկվում է հետևյալ բանաձևով`  </w:t>
      </w:r>
    </w:p>
    <w:p w:rsidR="002C3C7B" w:rsidRPr="000F536C" w:rsidRDefault="002C3C7B" w:rsidP="002C3C7B">
      <w:pPr>
        <w:spacing w:line="360" w:lineRule="auto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**Արածեցման օրեր = Արոտային տարածք x միջին բերքատվություն x 70% /անասնագլխի օրեկան կերի պահանջ (3311.9):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8-ում ամփոփված են արոտավայրերի բերքատվությունն ու կենդանիների համար խոտի ներկայիս հասանելիությունն` ըստ հաստատագրված 70 % օգտագործման ցուցանիշի: Ինչպես երևում է ամենաբարձր արտադրողականություն 1 հա-ի հաշվով ձևավորվել է մերձալպյան գոտու արոտավայրերից: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Մեր ուսումնասիրությունները ցույց են տվել նաև, որ ըստ արոտների հաստատագրված օգտագործման ցուցանիշի (70 %), ձևավորվող չոր զանգվածի քանակությունը առկա անասնագլխի համար կարող է ապահովել շուրջ 468 օրերի համար արոտային կեր, ինչը  կրկնակի և ավել անգամ բարձր արդյունք է բնակավայրի պայմաններում ՊԽՄ-ի արոտային շրջանի հաշվարկած արածեցման օրերի պահանջից: Լրացուցիչ կերային զգալի պաշար պարունակում են նաև վարելահողերի և բնական խոտհարքների ազատված տարածքները (խոտհունձից հետո) վերաճած ահլուկի տեսքով, ինչպես նաև այլ հողատեսքերի բուսածածկը (աղյուսակ 9), որոնց հիման վրա որպես այլ  ընտրանք հնարավոր է մինչև 389 օր կերակրել համայնքի ամբողջ անասնագլխին: Այլընտրանքային կերապահովման տարածքներն հիմնականում օգտագործվում են վաղ գարնանային և ուշ ամառային շրջանում, ինչպես նաև աշնանը մսուրային շրջանից առաջ:  </w:t>
      </w:r>
    </w:p>
    <w:p w:rsidR="002C3C7B" w:rsidRPr="000F536C" w:rsidRDefault="002C3C7B" w:rsidP="002C3C7B">
      <w:pPr>
        <w:spacing w:line="360" w:lineRule="auto"/>
        <w:ind w:firstLine="720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9</w:t>
      </w:r>
    </w:p>
    <w:p w:rsidR="002C3C7B" w:rsidRPr="000F536C" w:rsidRDefault="002C3C7B" w:rsidP="002C3C7B">
      <w:pPr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55" w:name="RANGE!A36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Վարելահողերից և այլ հողատեսքերից ակնկալվող կերի քանակը և առավելագույն արածեցման օրեր</w:t>
      </w:r>
      <w:bookmarkEnd w:id="55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ը</w:t>
      </w:r>
    </w:p>
    <w:tbl>
      <w:tblPr>
        <w:tblW w:w="95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276"/>
        <w:gridCol w:w="1417"/>
        <w:gridCol w:w="1843"/>
        <w:gridCol w:w="2594"/>
      </w:tblGrid>
      <w:tr w:rsidR="002C3C7B" w:rsidRPr="000F536C" w:rsidTr="002C3C7B">
        <w:trPr>
          <w:cantSplit/>
          <w:trHeight w:val="217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Տեղանք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Տարածք,</w:t>
            </w:r>
          </w:p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հա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ՉԶ բերք, կգ/հա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 ՉԶ, կգ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Արածեցման օրեր</w:t>
            </w:r>
          </w:p>
        </w:tc>
      </w:tr>
      <w:tr w:rsidR="002C3C7B" w:rsidRPr="000F536C" w:rsidTr="002C3C7B">
        <w:trPr>
          <w:cantSplit/>
          <w:trHeight w:val="90"/>
        </w:trPr>
        <w:tc>
          <w:tcPr>
            <w:tcW w:w="242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                  Ա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Բ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Դ = Բ x Գ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Ե = Դ / 3311.9 կգ/օր</w:t>
            </w:r>
          </w:p>
        </w:tc>
      </w:tr>
      <w:tr w:rsidR="002C3C7B" w:rsidRPr="000F536C" w:rsidTr="002C3C7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Վարելահող+ խոտ-       </w:t>
            </w:r>
          </w:p>
          <w:p w:rsidR="002C3C7B" w:rsidRPr="000F536C" w:rsidRDefault="002C3C7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 xml:space="preserve">հարքների  խոզան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146.4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55632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17</w:t>
            </w:r>
          </w:p>
        </w:tc>
      </w:tr>
      <w:tr w:rsidR="002C3C7B" w:rsidRPr="000F536C" w:rsidTr="002C3C7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Այլ հողատեսքերի       բուսածածկ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1415.95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1231876.5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372</w:t>
            </w:r>
          </w:p>
        </w:tc>
      </w:tr>
      <w:tr w:rsidR="002C3C7B" w:rsidRPr="000F536C" w:rsidTr="002C3C7B">
        <w:trPr>
          <w:cantSplit/>
          <w:trHeight w:val="64"/>
        </w:trPr>
        <w:tc>
          <w:tcPr>
            <w:tcW w:w="242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Ընդամենը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1562.3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1287508.5</w:t>
            </w:r>
          </w:p>
        </w:tc>
        <w:tc>
          <w:tcPr>
            <w:tcW w:w="25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389</w:t>
            </w:r>
          </w:p>
        </w:tc>
      </w:tr>
    </w:tbl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վարչական տարածքում առկա արոտավայրերից և այլ ընտրանքային արոտատեղերից (աղյուսակներ- 8; 9) ձևավորվող արոտակերը կարող է բավարարել առկա անասնագլխի արոտակերի պահանջը 468+389=857 օր: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Արոտավայրերից ձևավորվող (70 % թույլատրելի օգտագործումով) ընդհանուր չոր զանգվածի  (1547395 կգ), ինչպես նաև արոտակերի ապահովման այլընտրանքային կերապահովման տարածքներից (1287508.5 կգ) ձևավորվող համախառն կերային պաշարների և առկա անասնագլխին  արոտային ժամանակահատվածում անհրաժեշտ  (672860 կգ) արոտակերի պահանջի համադրումից պարզ է դառնում, որ ձևավորվող արոտակերը  կարող է բավարարել առկա անասնագլխի արոտային շրջանում անհրաժեշտ կերի պահանջը քառակի և ավել անգամ 421.3 %-ով: </w:t>
      </w:r>
    </w:p>
    <w:p w:rsidR="002C3C7B" w:rsidRPr="000F536C" w:rsidRDefault="002C3C7B" w:rsidP="002C3C7B">
      <w:pPr>
        <w:pStyle w:val="1"/>
        <w:spacing w:before="0" w:after="0" w:line="360" w:lineRule="auto"/>
        <w:rPr>
          <w:rFonts w:ascii="Sylfaen" w:eastAsia="Calibri" w:hAnsi="Sylfaen"/>
          <w:b w:val="0"/>
          <w:bCs w:val="0"/>
          <w:kern w:val="0"/>
          <w:sz w:val="16"/>
          <w:szCs w:val="16"/>
        </w:rPr>
      </w:pPr>
      <w:bookmarkStart w:id="56" w:name="_Toc524700607"/>
      <w:bookmarkStart w:id="57" w:name="_Toc402354617"/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eastAsia="Calibri" w:hAnsi="Sylfaen"/>
          <w:b w:val="0"/>
          <w:bCs w:val="0"/>
          <w:kern w:val="0"/>
          <w:sz w:val="16"/>
          <w:szCs w:val="16"/>
        </w:rPr>
      </w:pPr>
      <w:bookmarkStart w:id="58" w:name="_Toc17796555"/>
      <w:r w:rsidRPr="000F536C">
        <w:rPr>
          <w:rFonts w:ascii="Sylfaen" w:hAnsi="Sylfaen"/>
          <w:sz w:val="16"/>
          <w:szCs w:val="16"/>
        </w:rPr>
        <w:t xml:space="preserve">6.2. </w:t>
      </w:r>
      <w:r w:rsidRPr="000F536C">
        <w:rPr>
          <w:rFonts w:ascii="Sylfaen" w:hAnsi="Sylfaen" w:cs="Sylfaen"/>
          <w:sz w:val="16"/>
          <w:szCs w:val="16"/>
        </w:rPr>
        <w:t>Կենդանիների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կերակրման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և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կերերի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հաշվեկշիռ</w:t>
      </w:r>
      <w:bookmarkEnd w:id="56"/>
      <w:bookmarkEnd w:id="57"/>
      <w:bookmarkEnd w:id="58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10-ում ներկայացված են Եղեգիս բնակավայրում հաշվառված անասնագլխի 1 տարվա կերային ռեսուրսները, արոտային և մսուրային շրջաններում առկա անասնագլխի արոտակերի և խոտի պահանջի ապահովածությունը: </w:t>
      </w:r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         Աղյուսակ 10</w:t>
      </w:r>
    </w:p>
    <w:p w:rsidR="002C3C7B" w:rsidRPr="000F536C" w:rsidRDefault="002C3C7B" w:rsidP="002C3C7B">
      <w:pPr>
        <w:spacing w:line="360" w:lineRule="auto"/>
        <w:jc w:val="center"/>
        <w:rPr>
          <w:rFonts w:ascii="Sylfaen" w:hAnsi="Sylfaen"/>
          <w:bCs w:val="0"/>
          <w:color w:val="FF0000"/>
          <w:spacing w:val="0"/>
          <w:sz w:val="16"/>
          <w:szCs w:val="16"/>
          <w:highlight w:val="yellow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Արոտային և մսուրային շրջանների կերերով </w:t>
      </w:r>
      <w:r w:rsidRPr="000F536C">
        <w:rPr>
          <w:rFonts w:ascii="Sylfaen" w:hAnsi="Sylfaen"/>
          <w:bCs w:val="0"/>
          <w:color w:val="auto"/>
          <w:sz w:val="16"/>
          <w:szCs w:val="16"/>
        </w:rPr>
        <w:t>(</w:t>
      </w:r>
      <w:r w:rsidRPr="000F536C">
        <w:rPr>
          <w:rFonts w:ascii="Sylfaen" w:eastAsia="Times New Roman" w:hAnsi="Sylfaen" w:cs="Arial"/>
          <w:bCs w:val="0"/>
          <w:color w:val="auto"/>
          <w:spacing w:val="0"/>
          <w:sz w:val="16"/>
          <w:szCs w:val="16"/>
          <w:lang w:eastAsia="ru-RU" w:bidi="he-IL"/>
        </w:rPr>
        <w:t>ՉԶ</w:t>
      </w:r>
      <w:r w:rsidRPr="000F536C">
        <w:rPr>
          <w:rFonts w:ascii="Sylfaen" w:hAnsi="Sylfaen"/>
          <w:bCs w:val="0"/>
          <w:color w:val="auto"/>
          <w:sz w:val="16"/>
          <w:szCs w:val="16"/>
        </w:rPr>
        <w:t>)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ապահովածությունը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1700"/>
        <w:gridCol w:w="1418"/>
        <w:gridCol w:w="1417"/>
        <w:gridCol w:w="1842"/>
        <w:gridCol w:w="1558"/>
        <w:gridCol w:w="1233"/>
        <w:gridCol w:w="327"/>
      </w:tblGrid>
      <w:tr w:rsidR="002C3C7B" w:rsidRPr="000F536C" w:rsidTr="002C3C7B">
        <w:trPr>
          <w:trHeight w:val="339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Արոտային շրջան,</w:t>
            </w:r>
          </w:p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ԽԵԿ-190 օր, ՄԵԿ-270 օր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Մսուրային շրջան,</w:t>
            </w:r>
          </w:p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ԽԵԿ-175 օր, ՄԵԿ-95 օր</w:t>
            </w:r>
          </w:p>
        </w:tc>
      </w:tr>
      <w:tr w:rsidR="002C3C7B" w:rsidRPr="000F536C" w:rsidTr="002C3C7B">
        <w:trPr>
          <w:trHeight w:val="61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  կերեր, 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Պահանջվող</w:t>
            </w:r>
          </w:p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կերեր, (խոտ) 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Առկա կերեր, (խոտ) 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Ապահովա</w:t>
            </w: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softHyphen/>
              <w:t>ծություն,%</w:t>
            </w:r>
          </w:p>
        </w:tc>
      </w:tr>
      <w:tr w:rsidR="002C3C7B" w:rsidRPr="000F536C" w:rsidTr="002C3C7B">
        <w:trPr>
          <w:trHeight w:val="56"/>
        </w:trPr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lastRenderedPageBreak/>
              <w:t>Տես գլուխ 3.1, 6.1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Տես աղ. 3; 13</w:t>
            </w:r>
          </w:p>
        </w:tc>
      </w:tr>
      <w:tr w:rsidR="002C3C7B" w:rsidRPr="000F536C" w:rsidTr="002C3C7B">
        <w:trPr>
          <w:trHeight w:val="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672.8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Arial"/>
                <w:bCs w:val="0"/>
                <w:color w:val="auto"/>
                <w:spacing w:val="0"/>
                <w:sz w:val="16"/>
                <w:szCs w:val="16"/>
                <w:lang w:eastAsia="ru-RU" w:bidi="he-IL"/>
              </w:rPr>
              <w:t>2834.9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421.3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516.2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366.5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70.9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3C7B" w:rsidRPr="000F536C" w:rsidRDefault="002C3C7B">
            <w:pPr>
              <w:spacing w:line="276" w:lineRule="auto"/>
              <w:rPr>
                <w:rFonts w:ascii="Sylfaen" w:hAnsi="Sylfaen"/>
                <w:color w:val="FF0000"/>
                <w:sz w:val="16"/>
                <w:szCs w:val="16"/>
                <w:highlight w:val="yellow"/>
              </w:rPr>
            </w:pPr>
          </w:p>
        </w:tc>
      </w:tr>
    </w:tbl>
    <w:p w:rsidR="002C3C7B" w:rsidRPr="000F536C" w:rsidRDefault="002C3C7B" w:rsidP="002C3C7B">
      <w:pPr>
        <w:spacing w:line="360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Ծանոթություն – ԽԵԿ- խոշոր եղջերավոր կենդանի, ՄԵԿ- մանր եղջերավոր կենդանի: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Տվյալները ցույց են տալիս (աղ. 10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) ,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որ  լանդշաֆտային  գոտիների արոտներում (70% թույլատրելի օգտագործմամբ), և այլընտրանքային արոտակերի ապահովման տարածքներում միասին հաշվառված (աղ. 8+9) ձևավորվող արոտակերը բավարարում է առկա անասնագլխաքանակին անհրաժեշտ արոտակերի պահանջը քառակի և ավել անգամ` 421 %-ով: Մսուրային շրջանի համար բնակավայրի պայմաններում  կուտակվող խոտը բավարարում է ընդհանուր պահանջարկը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70.9 %-ով: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Հիմնվելով բնակավայրի պայմաններում արոտային, ինչպես նաև մսուրային ժամանակահատվածներում ձևավորվող և կուտակվող արոտակերի ու խոտի տվյալներին, ինչպես նաև կերարտադրության հնարավորություններին և առկա անասնագլխի կերի պահանջին, պարզվում է, որ համայնքի պայմաններում առկա է բավարար պայմաններ կերերի արտադրություն կազմակերպելու և հիմնավոր նախադրյալներ անասնագլխի կերապահովումով մթերատվության ցուցանիշներն ավելացնելու համար: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59" w:name="_Toc17796556"/>
      <w:bookmarkStart w:id="60" w:name="_Toc524700608"/>
      <w:bookmarkStart w:id="61" w:name="_Toc402354618"/>
      <w:r w:rsidRPr="000F536C">
        <w:rPr>
          <w:rFonts w:ascii="Sylfaen" w:hAnsi="Sylfaen"/>
          <w:sz w:val="16"/>
          <w:szCs w:val="16"/>
        </w:rPr>
        <w:t xml:space="preserve">7. </w:t>
      </w:r>
      <w:r w:rsidRPr="000F536C">
        <w:rPr>
          <w:rFonts w:ascii="Sylfaen" w:hAnsi="Sylfaen" w:cs="Sylfaen"/>
          <w:sz w:val="16"/>
          <w:szCs w:val="16"/>
        </w:rPr>
        <w:t>Խոշոր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և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մանր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եղջերավոր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կենդանիների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արածեցման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համակարգ</w:t>
      </w:r>
      <w:bookmarkEnd w:id="59"/>
      <w:bookmarkEnd w:id="60"/>
      <w:bookmarkEnd w:id="61"/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Եղեգիս բնակավայրի արոտների օգտագործման (արածեցման) համակարգը ներկայացված է աղյուսակ 14-ում (ա, բ):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մինչ այժմ կանոնակարգված արոտօգտագործման համակարգ գոյություն չի ունեցել, արոտային շրջանի կազմակերպումն ու արոտօգտագործումն իրականացվել է տարերայնորեն, այդ է հիմնական պատճառը, որ զգալի տարածքով արոտները համայնքամերձ հատվածներում գտնվում են վատթար վիճակում, հիմնականում գերօգտագործված և մասամբ դեգրադացված են, բուսածածկում գերակշռում են ցածրարժեք տարախոտային բուսատեսակներ: Խնդրի խորացմանը նպաստել է նաև զգալի տարածքներով արոտավայրերում գյուղատնտեսական կենդանիներին անհրաժեշտ խմելաջրի պակասը կամ բացակայությունը, ինչով և պայմանավորված արոտավայրերը օգտագործվել են անհավասարաչափ, հաշվի չի առնվել արոտատեղամասերում նաև անասնագլխով թույլատրելի բեռնավորման նորմը (ԱԹԲ):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արոտավայրերի տեղաբաշխվածությունը և կենսակլիմայական պայմանները ապահովում են արոտային շրջանը գարնանը սկսել ապրիլի III տասնօրյակից (ԽԵԿ-ի համար), մարտի առաջին տասնօրյակում (ՄԵԿ-ի համար), ցածրադիր հատվածների արոտատեղամասերից: Ուշ գարնանը նախիրներն ու հոտերը տեղափոխվում են մերձալպյան գոտու առավելապես ցածրադիր հատվածների արոտատեղամասեր մինչև սեպտեմբերի երրորդ տասնօրյակը, որից հետո մինչև մսուրային շրջանին անցնելը, արոտակերի ապահովման համար տեղափոխվում են բնակավայրամերձ արոտներ և այլընտրանքային կերապահովման տարածքներ, օգտագործելով նաև հնձված խոտհարքների և վարելահողերի մնացորդային խոզանն ու վերաճած ահլուկը, ինչպես նաև գործառնական նշանակությամբ այլ հողատեսքերի բուսածածկը: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թույլատրելի բեռնավորմամբ արոտների կայուն կառավարումը պայմանավորվում է նաև           արոտավայրերում անհրաժեշտ ենթակառուցվածքների ձևավորումով, մասնավորապես նոր ջրելատեղերի կառուցմամբ և քայքայված ջրելատեղերի վերակառուցմամբ ՊԽՄ-ի խմելաջրի ապահովումը արոտատեղամասերում, ձևավորելու է հնարավորություններ կայուն կառավարման (արոտօգտագործման) կարգեր կիրառելու և արոտավայրերը հավասարաչափ օգտագործելու համար: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Թույլատրելի բեռնավորմամբ հերթափոխային (արոտաբաժնային) արածեցման համակարգի կիրառման և արոտաշրջանառության իրականացումով, ժամանակի ընթացքում կբարձրանա բնակավայրամերձ մասամբ դեգրադացված արոտատեղամասերի արդյունավետությունը և բուսածածկի կերային արժեքը,  աստիճանաբար նպաստելով գերօգտագործված և կազմալուծված արոտների վերականգնմանը, կանխելով հողերի էրոզացման հնարավոր գործընթացը և արոտների հետագա հնարավոր դեգրադացումը, ինչը ակնհայտ է նման ռելիեֆային գոտիներում: Առավել արդյունավետ է օգտագործվելու բնական արոտների բուսածածկը, ապահովելով արոտային շրջանի կերապահովման խնդրի լուծմամբ գյուղ.կենդանիների մթերատվության ցուցանիշ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բարձրացումը: Վերջինովս էլ պայմանավորվում է ֆերմերային տնտեսություն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softHyphen/>
        <w:t>ների եկամուտների աճն ու կենսամակարդակի բարձրացումը: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Աղյուսակ 14-ում (ա, բ) ներկայացված համակարգը ներառում է ԽԵԿ նախիրների և ՄԵԿ հոտերի արոտօգտագործման սխեմաները: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Արածեցման համակարգի մշակման համար հիմք է ընդունվել Եղեգիս բնակավայրում խոշոր և մանր եղջերավոր անասունների պայմանական գլխաքանակը (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ՊԳ,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աղ.11), որի հաշվարկման համար համապատասխան գործող փոխակերպման գործակիցներով համայնքի ողջ անասնագլխաքանակը (արոտից օգտվող) վերածել ենք պայմանական խոշոր միավորի (ՊԳ): Որպես պայմանական խոշոր միավոր (1 ՊԳ) ընդունված է 400 կգ կշիռ ունեցող խոշոր եղջերավոր անասունը (կովը): Այս համակարգի մշակման համար կարևոր նշանակություն ունի նաև նախիրների և հոտերի քանակը (աղ. 12): Մեկ պայմանական գլխի (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ՊԳ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) օրվա արածեցման հաշվարկը որոշվում է մեկ օրվա համար 400 կգ մարմնի քաշ ունեցող կովին անհրաժեշտ չոր կերի քանակով (10 կգ):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 xml:space="preserve">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Արոտատեղամասերում արոտօգտագործման օրերի քանակը հաշվարկվում է հետևյալ բանաձևով` 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Արոտային տարածք x միջին բերքատվություն x 60% /ՊԳ-ի օրեկան կերի պահանջ (կգ)/ նախիրի գլխաքանակ (ՊԳ):</w:t>
      </w:r>
      <w:proofErr w:type="gramEnd"/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                                                                            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Աղյուսակ 11</w:t>
      </w:r>
    </w:p>
    <w:p w:rsidR="002C3C7B" w:rsidRPr="000F536C" w:rsidRDefault="002C3C7B" w:rsidP="002C3C7B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Բնակավայրի ԽԵԿ և ՄԵԿ պայմանական գլխաքանակի (ՊԳ) հաշվարկ</w:t>
      </w:r>
    </w:p>
    <w:tbl>
      <w:tblPr>
        <w:tblW w:w="0" w:type="auto"/>
        <w:jc w:val="center"/>
        <w:tblInd w:w="-1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1754"/>
        <w:gridCol w:w="2363"/>
        <w:gridCol w:w="2134"/>
      </w:tblGrid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Փոխակերպման գործակից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Պայմանական գլուխ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121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80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22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18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14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23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 xml:space="preserve">Մաքիներ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36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198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0.125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24.7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450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0.063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28.3</w:t>
            </w:r>
          </w:p>
        </w:tc>
      </w:tr>
      <w:tr w:rsidR="002C3C7B" w:rsidRPr="000F536C" w:rsidTr="002C3C7B">
        <w:trPr>
          <w:cantSplit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13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0.85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11</w:t>
            </w:r>
          </w:p>
        </w:tc>
      </w:tr>
      <w:tr w:rsidR="002C3C7B" w:rsidRPr="000F536C" w:rsidTr="002C3C7B">
        <w:trPr>
          <w:cantSplit/>
          <w:trHeight w:val="153"/>
          <w:jc w:val="center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276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1259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3C7B" w:rsidRPr="000F536C" w:rsidRDefault="002C3C7B">
            <w:pPr>
              <w:spacing w:line="276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329</w:t>
            </w:r>
          </w:p>
        </w:tc>
      </w:tr>
    </w:tbl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Ըստ ՏԻ մարմնի տրամադրած տեղեկատվության, Եղեգիս բնակավայրում գործում են ՄԵԿ (ոչխարի) 3 հոտեր և ԽԵԿ-ի 3 նախիրներ, որից 2-ը կովերի, 1-ը տարբեր սեռահասակային խմբերի ԽԵԿ-ի (աղ. 12): Նախիրներում և հոտերում հաշվվում է շուրջ 329 ՊԳ խոշոր միավոր</w:t>
      </w:r>
    </w:p>
    <w:p w:rsidR="002C3C7B" w:rsidRPr="000F536C" w:rsidRDefault="002C3C7B" w:rsidP="002C3C7B">
      <w:pPr>
        <w:spacing w:line="360" w:lineRule="auto"/>
        <w:ind w:firstLine="567"/>
        <w:jc w:val="right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12</w:t>
      </w:r>
    </w:p>
    <w:p w:rsidR="002C3C7B" w:rsidRPr="000F536C" w:rsidRDefault="002C3C7B" w:rsidP="002C3C7B">
      <w:pPr>
        <w:spacing w:line="360" w:lineRule="auto"/>
        <w:ind w:firstLine="567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Արոտավայրերի արածեցման համար նախիրների և հոտերի առաջարկվող կառուցվածքը, ՊԳ-ով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2551"/>
        <w:gridCol w:w="2127"/>
      </w:tblGrid>
      <w:tr w:rsidR="002C3C7B" w:rsidRPr="000F536C" w:rsidTr="002C3C7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Նախիրների և հոտերի թիվը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Մեկ նախիրում և հոտում ՊԳ քանակը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 ՊԳ</w:t>
            </w:r>
          </w:p>
        </w:tc>
      </w:tr>
      <w:tr w:rsidR="002C3C7B" w:rsidRPr="000F536C" w:rsidTr="002C3C7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Նախիր(կովի) 1, 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60+61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121</w:t>
            </w:r>
          </w:p>
        </w:tc>
      </w:tr>
      <w:tr w:rsidR="002C3C7B" w:rsidRPr="000F536C" w:rsidTr="002C3C7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Նախիր տարբեր սեռահասակային 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108</w:t>
            </w:r>
          </w:p>
        </w:tc>
      </w:tr>
      <w:tr w:rsidR="002C3C7B" w:rsidRPr="000F536C" w:rsidTr="002C3C7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Հոտ 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30+30+40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100</w:t>
            </w:r>
          </w:p>
        </w:tc>
      </w:tr>
      <w:tr w:rsidR="002C3C7B" w:rsidRPr="000F536C" w:rsidTr="002C3C7B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spacing w:line="360" w:lineRule="auto"/>
              <w:jc w:val="both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hAnsi="Sylfaen"/>
                <w:bCs w:val="0"/>
                <w:color w:val="auto"/>
                <w:spacing w:val="0"/>
                <w:sz w:val="16"/>
                <w:szCs w:val="16"/>
              </w:rPr>
              <w:t>329</w:t>
            </w:r>
          </w:p>
        </w:tc>
      </w:tr>
    </w:tbl>
    <w:p w:rsidR="002C3C7B" w:rsidRPr="000F536C" w:rsidRDefault="002C3C7B" w:rsidP="002C3C7B">
      <w:pPr>
        <w:spacing w:line="360" w:lineRule="auto"/>
        <w:jc w:val="both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>Ծանոթություն –Ձիերի գլխաքանակը ներառնված է մանր եղջերավորի հոտերի մեջ:</w:t>
      </w:r>
    </w:p>
    <w:p w:rsidR="002C3C7B" w:rsidRPr="000F536C" w:rsidRDefault="002C3C7B" w:rsidP="002C3C7B">
      <w:pPr>
        <w:spacing w:line="360" w:lineRule="auto"/>
        <w:ind w:firstLine="709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հերթափոխ արոտօգտագործման շրջանառությունը կազմակերպվում է հիմնվելով արոտավայրերի բերքատվության, տեղաբաշխվածության, լանդշաֆտային գոտիականության և համայնքից ունեցած հեռավորության տվյալներին: Գարնանը, արոտային շրջանի սկզբնամասում օգտագործվում է բնակավայրամերձ առավել ցածրադիր արոտները, ուշ գարնանը և  ամռան սկզբին նախիրները և հոտը տեղափոխվում են առավել բարձրադիր արոտատեղամասեր, մինջև սեպտեմբերի առաջին տասնօրյակը,  որից հետո հակառակ ընթացքով շարժվում են դեպի առավել ցածրադիր և բնակավայրամերձ արոտատեղամասեր, հնձված խոտհարքային տարածքներ և բերքահավաք կատարած վարելահողեր, ուր արոտակերի ապահովումն իրականացվում է մնացորդային խոզանների ու վերաճած ահլուկի արածումով, մինչև մսուրային շրջանին անցնելը: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առկա անասնագլխին արոտակերով ապահովման համար արոտային շրջանում օգտագործվում են արոտների, ինչպես նաև այլընտրանքային կերապահովման տարածքների բուսածածկերը: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Հնարավոր բնապահպանական խնդիրներից զերծ մնալու, անհրաժեշտ արոտակերի խնդիրը լուծելու և կայուն արոտօգտագործում կազմակերպելու համար, համայնքը կարիք ունի կայուն կառավարմամբ արոտօգտագործման արդյունավետ եղանակների կիրառման: Ելնելով արոտավայրերի իրավիճակի ցուցանիշի (ԱԻՑ)  արժեքից, ձևավորվող արոտակերի ընդհանուր քանակի և արոտավայրերի թույլատրելի բեռնավորման (ԱԹԲ) նորմի հաշվարկից, պարզվում է, որ համայնքի արոտավայրերում (70 % թույլատրելի օգտագործումով) և արոտակերի ապահովման այլընտրանքային տարածքներում ձևավորվող համախառն արոտակերի պաշարները,  արոտային ժամանակահատվածում կարող են ապահովել շուրջ 1400 ՊԳ խոշոր միավորի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կերի պահանջ: Հաշվի առնելով բնակավայրոում առկա անասնագլխաքանակը (329 ՊԽՄ), պարզ է դառնում, որ արոտային կերերով բնակավայրը լիովին ապահովված է: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Եղեգիս բնակավայրի պայմաններում առկա արոտային կերերի ամբողջական օգտագործման համար, առաջնահերթ պայման պետք է համարել հեռագնա արոտների հասանելիության ապահովումը հեռագնա պահվածքի ճամբարային ենթակառուցվածքներ ձևավորելով: Ներկայում, բնակավայրում հաշվառված շուրջ 100 գլուխ ( ՊԽՄ) այլ սեռահասակային ԽԵԿ-երի (մինջև 1 տարեկան հորթերը` 22 ՊԽՄ հաշվառված չէ), ամառային արոտային շրջանը կազմակերպում է հեռագնա արոտներում: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Բնակավայրի պայմաններում ԽԵԿ-ի մինջև 12 ամսեկան հորթերի (22 ՊԽՄ) արոտային շրջանը կազմակերպվում է հիմնականում վարելահողերի միջնակներում կամ տնամերձ տարածքներում կապովի եղանակով, կամ ուղղակի մսուրային պահվածքով, մինջև 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lastRenderedPageBreak/>
        <w:t>խոտհարքներում և վարելահողերում բերքահավաքը, որից հետո ազատ պահվածքով արոտի են դուրս բերվում այս տարածքներում: Հաշվի առնելով այս հանգամանքը հորթերի գլխաքանակը (22 ՊԳ) չի ներառնվել արոտօգտագործման` արածեցման գրաֆիկում: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bCs w:val="0"/>
          <w:color w:val="FF0000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Այսպիսով, արոտավայրերի արդյունավետ օգտագործում իրականացնելու և անասնագլխի կերապահովման խնդիրը լուծելու համար, առաջարկում ենք Եղեգիս բնակավայրի արոտների օգտագործումը (արածեցումը) կազմակերպել կովերի 2 նախիրներով (121 ՊԽՄ), այլ սեռահասակային խմբերի ԽԵԿ-ի 1 նախիրով (86 ՊԽՄ) և ՄԵԿ-ի 3 հոտերով (100 ՊԽՄ),: Արոտատեղամասերում արածեցումը  իրականացնել ըստ առանձին նախիրների` մեկ ՊԳ/հատված հիմունքով: Անհրաժեշտ է նաև, որ նախիրների և հոտի արածեցման համակարգը հետևի համապատասխան արածեցման ժամկետներին, որոնք նշված են Աղյուսակ 14 ա, բ-ի հերթափոխային արածեցման գրաֆիկում:</w:t>
      </w:r>
      <w:r w:rsidRPr="000F536C">
        <w:rPr>
          <w:rFonts w:ascii="Sylfaen" w:hAnsi="Sylfaen"/>
          <w:bCs w:val="0"/>
          <w:color w:val="FF0000"/>
          <w:spacing w:val="0"/>
          <w:sz w:val="16"/>
          <w:szCs w:val="16"/>
        </w:rPr>
        <w:t xml:space="preserve"> </w:t>
      </w:r>
    </w:p>
    <w:p w:rsidR="002C3C7B" w:rsidRPr="000F536C" w:rsidRDefault="002C3C7B" w:rsidP="002C3C7B">
      <w:pPr>
        <w:spacing w:line="360" w:lineRule="auto"/>
        <w:ind w:firstLine="567"/>
        <w:jc w:val="both"/>
        <w:rPr>
          <w:rFonts w:ascii="Sylfaen" w:hAnsi="Sylfaen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Տեղում ստուգելու և համոզվելու համար, թե արդյոք գերարածեցում տեղի է ունեցել, թե ոչ, կա 2 միջոց` 1) անասունների ընդհանուր արածեցման օրերը յուրաքանչյուր արոտավայրում և 2) խոզանի բարձրությունը, ընդ որում երբ այս չափորոշիչները հասնում են սահմանված վերին շեմին, ապա այդ արոտատեղամասում արածեցումը պետք է իսկույն դադարեցվի և անասունները տեղափոխվեն այլ արոտատեղամաս: Հերթափոխային արածեցման համակարգի մի մաս է կազմում կրկնակի արածեցման գրաֆիկը, այսպես աղյուսակ 14 ա, բ-ում արածեցման առաջին և երկրորդ շրջանների համար նշված են արածեցման առավելագույն օրերը և խոզանի բարձրության տարբեր շեմեր, որոնք երբեք չպետք է խախտել, քանի որ հաշվի է առնված արածեցման ժամանակահատվածի գործոնը: Խնդիրը կայանում է նրանում, որ բուսածածկի աճի համար ավելի լավ պայմաններ ապահովող այս ծրագրի շնորհիվ, 2 տարիների ընթացքում համայնքամերձ արոտավայրերի վիճակը կայուն կառավարումով (արոտաշրջանառության իրականացմամբ) հնարավոր է բարելավել, հետագա դեգրադացումը մեղմելով ձևավորել բուսածածկի բնական վերարտադրման հնարավորությունների մեծացում, բերելով արոտավայրի արդյունավետության բարձրացմանը: Յուրաքանչյուր արոտօգտագործող  պետք է գիտակցի, որ այս ձեռնարկը համայնքի բոլոր բնակիչների օգտին է և տնտեսական, և բնապահպանական առումներով: Այս համակարգի առավելությունը կայանում է նրանում, որ այն բավականին ճկուն է և թույլ է տալիս անհրաժեշտության դեպքում կախված արոտավայրի բուսածածկի վիճակից, փոփոխության ենթարկել ինչպես նախիրի քանակությունը, այնպես էլ արածեցման տևականությունն ու խոզանի բարձրության շեմը: Այս հանգամանքը ՏԻՄ-երին հնարավորություն է տալիս մշակել նոր, փոփոխված արածեցման սխեմաներ, դրանով իսկ ապահովել արոտամասերի արդյունավետ օգտագործումը անասնագլխաքանակի ավելացման, կլիմայական պայմանների և այլ գործոնների փոփոխման պայմաններում:</w:t>
      </w:r>
      <w:bookmarkStart w:id="62" w:name="_Toc524700609"/>
      <w:r w:rsidRPr="000F536C">
        <w:rPr>
          <w:rFonts w:ascii="Sylfaen" w:hAnsi="Sylfaen"/>
          <w:sz w:val="16"/>
          <w:szCs w:val="16"/>
        </w:rPr>
        <w:t>8.</w:t>
      </w:r>
      <w:r w:rsidRPr="000F536C">
        <w:rPr>
          <w:rFonts w:ascii="Sylfaen" w:hAnsi="Sylfaen" w:cs="Sylfaen"/>
          <w:sz w:val="16"/>
          <w:szCs w:val="16"/>
        </w:rPr>
        <w:t>Մսուրային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շրջանում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կուտակվող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կերեր</w:t>
      </w:r>
      <w:bookmarkEnd w:id="62"/>
      <w:r w:rsidRPr="000F536C">
        <w:rPr>
          <w:rFonts w:ascii="Sylfaen" w:hAnsi="Sylfaen" w:cs="Cambria"/>
          <w:sz w:val="16"/>
          <w:szCs w:val="16"/>
        </w:rPr>
        <w:t xml:space="preserve"> </w:t>
      </w:r>
      <w:bookmarkStart w:id="63" w:name="_Toc524700965"/>
      <w:bookmarkStart w:id="64" w:name="_Toc524700610"/>
      <w:r w:rsidRPr="000F536C">
        <w:rPr>
          <w:rFonts w:ascii="Sylfaen" w:hAnsi="Sylfaen"/>
          <w:sz w:val="16"/>
          <w:szCs w:val="16"/>
        </w:rPr>
        <w:t>(</w:t>
      </w:r>
      <w:r w:rsidRPr="000F536C">
        <w:rPr>
          <w:rFonts w:ascii="Sylfaen" w:hAnsi="Sylfaen" w:cs="Sylfaen"/>
          <w:sz w:val="16"/>
          <w:szCs w:val="16"/>
        </w:rPr>
        <w:t>խոտի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ապահովածությունը</w:t>
      </w:r>
      <w:r w:rsidRPr="000F536C">
        <w:rPr>
          <w:rFonts w:ascii="Sylfaen" w:hAnsi="Sylfaen"/>
          <w:sz w:val="16"/>
          <w:szCs w:val="16"/>
        </w:rPr>
        <w:t>)</w:t>
      </w:r>
      <w:bookmarkEnd w:id="63"/>
      <w:bookmarkEnd w:id="64"/>
      <w:r w:rsidRPr="000F536C">
        <w:rPr>
          <w:rFonts w:ascii="Sylfaen" w:hAnsi="Sylfaen"/>
          <w:sz w:val="16"/>
          <w:szCs w:val="16"/>
        </w:rPr>
        <w:t>:</w:t>
      </w: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 w:cs="Sylfaen"/>
          <w:sz w:val="16"/>
          <w:szCs w:val="16"/>
        </w:rPr>
      </w:pPr>
      <w:bookmarkStart w:id="65" w:name="_Toc17796557"/>
      <w:bookmarkStart w:id="66" w:name="_Toc17713981"/>
      <w:bookmarkStart w:id="67" w:name="_Toc17713660"/>
      <w:bookmarkStart w:id="68" w:name="_Toc17712214"/>
      <w:bookmarkStart w:id="69" w:name="_Toc17712174"/>
      <w:bookmarkStart w:id="70" w:name="_Toc17711609"/>
      <w:r w:rsidRPr="000F536C">
        <w:rPr>
          <w:rFonts w:ascii="Sylfaen" w:hAnsi="Sylfaen" w:cs="Sylfaen"/>
          <w:sz w:val="16"/>
          <w:szCs w:val="16"/>
        </w:rPr>
        <w:t>8. Մսուրային շրջանում կուտակվող կերեր (խոտի ապահովածությունը)</w:t>
      </w:r>
      <w:bookmarkEnd w:id="65"/>
      <w:bookmarkEnd w:id="66"/>
      <w:bookmarkEnd w:id="67"/>
      <w:bookmarkEnd w:id="68"/>
      <w:bookmarkEnd w:id="69"/>
      <w:bookmarkEnd w:id="70"/>
    </w:p>
    <w:p w:rsidR="002C3C7B" w:rsidRPr="000F536C" w:rsidRDefault="002C3C7B" w:rsidP="002C3C7B">
      <w:pPr>
        <w:spacing w:line="360" w:lineRule="auto"/>
        <w:jc w:val="right"/>
        <w:rPr>
          <w:rFonts w:ascii="Sylfaen" w:hAnsi="Sylfaen"/>
          <w:b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Աղյուսակ 13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jc w:val="center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Անասնագլխի մսուրային շրջանի խոտի պահանջն ու ապահովածությունը</w:t>
      </w:r>
    </w:p>
    <w:tbl>
      <w:tblPr>
        <w:tblW w:w="9510" w:type="dxa"/>
        <w:tblInd w:w="97" w:type="dxa"/>
        <w:tblLayout w:type="fixed"/>
        <w:tblLook w:val="04A0" w:firstRow="1" w:lastRow="0" w:firstColumn="1" w:lastColumn="0" w:noHBand="0" w:noVBand="1"/>
      </w:tblPr>
      <w:tblGrid>
        <w:gridCol w:w="1995"/>
        <w:gridCol w:w="819"/>
        <w:gridCol w:w="882"/>
        <w:gridCol w:w="966"/>
        <w:gridCol w:w="1301"/>
        <w:gridCol w:w="1126"/>
        <w:gridCol w:w="998"/>
        <w:gridCol w:w="1423"/>
      </w:tblGrid>
      <w:tr w:rsidR="002C3C7B" w:rsidRPr="000F536C" w:rsidTr="002C3C7B">
        <w:trPr>
          <w:cantSplit/>
          <w:trHeight w:val="2086"/>
          <w:tblHeader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Կենդանու տեսակը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Գլխաքանակ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ՉԶ օրական  պահանջը, կգ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Մսու</w:t>
            </w: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րային շրջան, օր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</w:t>
            </w: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մենը պահանջարկ,տ.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Կուտակվող խոտի քանակը, տ.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Անհրաժեշտ խոտի ավելցուկը,տ.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Ապահով</w:t>
            </w: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վածու</w:t>
            </w: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softHyphen/>
              <w:t>թյուն,%</w:t>
            </w:r>
          </w:p>
        </w:tc>
      </w:tr>
      <w:tr w:rsidR="002C3C7B" w:rsidRPr="000F536C" w:rsidTr="002C3C7B">
        <w:trPr>
          <w:cantSplit/>
          <w:trHeight w:val="375"/>
          <w:tblHeader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Ա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Բ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Գ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Դ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Ե=ԲxԳxԴ /1000կգ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Զ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Է=Զ-Ե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/>
                <w:bCs w:val="0"/>
                <w:color w:val="auto"/>
                <w:spacing w:val="0"/>
                <w:sz w:val="16"/>
                <w:szCs w:val="16"/>
              </w:rPr>
              <w:t>Ը=Զ/Եx100%</w:t>
            </w: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Հասուն ԽԵԿ (կովեր)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121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211.7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366.5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-149.7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70.9</w:t>
            </w: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&lt; 1 տարեկան հորթեր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80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205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38.5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12-24 ամսական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31.5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Չբուծվող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24.9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Ցուլեր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7.5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54.2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Բուծվող ԽԵԿ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31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8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175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43.4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Մաքիներ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289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34.3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Այծեր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198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1.25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23.5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Գառներ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0.62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155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43.2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Ձիեր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8.75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95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10.8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lastRenderedPageBreak/>
              <w:t>Ավանակներ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6.5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0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  <w:tr w:rsidR="002C3C7B" w:rsidRPr="000F536C" w:rsidTr="002C3C7B">
        <w:trPr>
          <w:cantSplit/>
          <w:trHeight w:val="375"/>
        </w:trPr>
        <w:tc>
          <w:tcPr>
            <w:tcW w:w="19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</w:pPr>
            <w:r w:rsidRPr="000F536C"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</w:rPr>
              <w:t>Ընդամենը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1259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rPr>
                <w:rFonts w:ascii="Calibri" w:hAnsi="Calibri"/>
                <w:bCs w:val="0"/>
                <w:color w:val="auto"/>
                <w:spacing w:val="0"/>
                <w:sz w:val="16"/>
                <w:szCs w:val="16"/>
                <w:lang w:val="ru-RU" w:eastAsia="ru-RU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3C7B" w:rsidRPr="000F536C" w:rsidRDefault="002C3C7B">
            <w:pPr>
              <w:spacing w:line="360" w:lineRule="auto"/>
              <w:jc w:val="center"/>
              <w:rPr>
                <w:rFonts w:ascii="Sylfaen" w:hAnsi="Sylfaen" w:cs="Calibri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 w:cs="Calibri"/>
                <w:color w:val="auto"/>
                <w:sz w:val="16"/>
                <w:szCs w:val="16"/>
              </w:rPr>
              <w:t>516.2</w:t>
            </w:r>
          </w:p>
        </w:tc>
        <w:tc>
          <w:tcPr>
            <w:tcW w:w="112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99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eastAsia="Times New Roman" w:hAnsi="Sylfaen" w:cs="Calibri"/>
                <w:bCs w:val="0"/>
                <w:color w:val="auto"/>
                <w:spacing w:val="0"/>
                <w:sz w:val="16"/>
                <w:szCs w:val="16"/>
                <w:highlight w:val="yellow"/>
              </w:rPr>
            </w:pPr>
          </w:p>
        </w:tc>
      </w:tr>
    </w:tbl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bookmarkStart w:id="71" w:name="_Toc402354620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Եղեգիս բնակավայրում մսուրային շրջանի համար կուտակվող կերերի ձեռքբերման աղբյուրները և քանակությունը          </w:t>
      </w:r>
    </w:p>
    <w:p w:rsidR="002C3C7B" w:rsidRPr="000F536C" w:rsidRDefault="002C3C7B" w:rsidP="002C3C7B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Տնամերձ հողերից խոտ-                                    50 հա x 3.0տ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=  125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2C3C7B" w:rsidRPr="000F536C" w:rsidRDefault="002C3C7B" w:rsidP="002C3C7B">
      <w:pPr>
        <w:tabs>
          <w:tab w:val="left" w:pos="0"/>
        </w:tabs>
        <w:spacing w:line="276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Բազմամյա խոտաբույսերի ցանքերից                  7 հա x 6.0տ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=  42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 տ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Բնական խոտհարքներից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ab/>
        <w:t>-խոտ</w:t>
      </w: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ab/>
        <w:t xml:space="preserve">            79.83 հա x 2.5 տ = 199.5 տ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Գնովի խոտ                                                                                   160տ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                                                                    50տ</w:t>
      </w:r>
    </w:p>
    <w:p w:rsidR="002C3C7B" w:rsidRPr="000F536C" w:rsidRDefault="002C3C7B" w:rsidP="002C3C7B">
      <w:pPr>
        <w:tabs>
          <w:tab w:val="left" w:pos="0"/>
        </w:tabs>
        <w:spacing w:line="276" w:lineRule="auto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 xml:space="preserve">       Ընդամենը</w:t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</w:r>
      <w:r w:rsidRPr="000F536C">
        <w:rPr>
          <w:rFonts w:ascii="Sylfaen" w:hAnsi="Sylfaen"/>
          <w:b/>
          <w:bCs w:val="0"/>
          <w:color w:val="auto"/>
          <w:spacing w:val="0"/>
          <w:sz w:val="16"/>
          <w:szCs w:val="16"/>
        </w:rPr>
        <w:tab/>
        <w:t xml:space="preserve">                                  576.5 տ     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Գնովի խտացված կերերը հիմնականում օգտագործվում ընտանի թռչունների կերակրման համար, մասամբ նաև բտվող կենդանիների քաշաճի ավելացման նպատակով լրացուցիչ կերակրում կազմակերպելու համար: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Բնակավայրում մսուրային շրջանում օգտագործվող խոտի պահանջը բավարարվում է (70.9 %) սեփական արտադրությամբ` մշակովի վարելահողերից, տնամերձ տարածքներից, ինչպես նաև բնական խոտհարքներից: Անհրաժեշտ խոտի պակասը լրացվում է հարևան </w:t>
      </w:r>
      <w:proofErr w:type="gramStart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բնակավայրերից  գնումներով</w:t>
      </w:r>
      <w:proofErr w:type="gramEnd"/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 xml:space="preserve">: </w:t>
      </w:r>
    </w:p>
    <w:p w:rsidR="002C3C7B" w:rsidRPr="000F536C" w:rsidRDefault="002C3C7B" w:rsidP="002C3C7B">
      <w:pPr>
        <w:tabs>
          <w:tab w:val="left" w:pos="0"/>
        </w:tabs>
        <w:spacing w:line="360" w:lineRule="auto"/>
        <w:ind w:firstLine="567"/>
        <w:jc w:val="both"/>
        <w:rPr>
          <w:rFonts w:ascii="Sylfaen" w:hAnsi="Sylfaen"/>
          <w:bCs w:val="0"/>
          <w:color w:val="auto"/>
          <w:spacing w:val="0"/>
          <w:sz w:val="16"/>
          <w:szCs w:val="16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Բնակավայրում դաշտավարությամբ որակյալ կերերի արտադրության կազմակերպման, գնովի խտացված և հատիկային կերերը տեղական արտադրությամբ ապահովելու, ինչպես նաև չմշակվող վարելահողերի հնարավոր դեգրադացումը կանխելու համար, առաջնահերթ անհրաժեշտություն է բնակավայրում կերարտադրության առկա ծավալների ընդլայնման համար անհրաժեշտ նախադրյալների ստեղծումը:</w:t>
      </w:r>
    </w:p>
    <w:p w:rsidR="002C3C7B" w:rsidRPr="000F536C" w:rsidRDefault="002C3C7B" w:rsidP="002C3C7B">
      <w:pPr>
        <w:spacing w:line="360" w:lineRule="auto"/>
        <w:rPr>
          <w:rFonts w:ascii="Sylfaen" w:eastAsia="Times New Roman" w:hAnsi="Sylfaen"/>
          <w:b/>
          <w:color w:val="FF0000"/>
          <w:spacing w:val="0"/>
          <w:kern w:val="32"/>
          <w:sz w:val="16"/>
          <w:szCs w:val="16"/>
        </w:rPr>
        <w:sectPr w:rsidR="002C3C7B" w:rsidRPr="000F536C" w:rsidSect="000F536C">
          <w:pgSz w:w="11907" w:h="16840"/>
          <w:pgMar w:top="567" w:right="850" w:bottom="709" w:left="993" w:header="709" w:footer="843" w:gutter="0"/>
          <w:pgNumType w:chapStyle="1"/>
          <w:cols w:space="720"/>
        </w:sectPr>
      </w:pPr>
    </w:p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/>
          <w:sz w:val="16"/>
          <w:szCs w:val="16"/>
        </w:rPr>
      </w:pPr>
      <w:bookmarkStart w:id="72" w:name="_Toc524700611"/>
      <w:bookmarkStart w:id="73" w:name="_Toc17796558"/>
      <w:r w:rsidRPr="000F536C">
        <w:rPr>
          <w:rFonts w:ascii="Sylfaen" w:hAnsi="Sylfaen"/>
          <w:sz w:val="16"/>
          <w:szCs w:val="16"/>
        </w:rPr>
        <w:lastRenderedPageBreak/>
        <w:t xml:space="preserve">9. </w:t>
      </w:r>
      <w:r w:rsidRPr="000F536C">
        <w:rPr>
          <w:rFonts w:ascii="Sylfaen" w:hAnsi="Sylfaen"/>
          <w:bCs w:val="0"/>
          <w:sz w:val="16"/>
          <w:szCs w:val="16"/>
        </w:rPr>
        <w:t>Եղեգիս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բնակավայրում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արոտատեղամասերի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բաշխվածության</w:t>
      </w:r>
      <w:r w:rsidRPr="000F536C">
        <w:rPr>
          <w:rFonts w:ascii="Sylfaen" w:hAnsi="Sylfaen" w:cs="Cambria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քարտեզ</w:t>
      </w:r>
      <w:bookmarkEnd w:id="72"/>
      <w:bookmarkEnd w:id="73"/>
    </w:p>
    <w:p w:rsidR="002C3C7B" w:rsidRPr="000F536C" w:rsidRDefault="002C3C7B" w:rsidP="002C3C7B">
      <w:pPr>
        <w:spacing w:line="360" w:lineRule="auto"/>
        <w:jc w:val="center"/>
        <w:rPr>
          <w:rFonts w:ascii="Sylfaen" w:hAnsi="Sylfaen" w:cs="Sylfaen"/>
          <w:b/>
          <w:color w:val="FF0000"/>
          <w:sz w:val="16"/>
          <w:szCs w:val="16"/>
        </w:rPr>
      </w:pPr>
    </w:p>
    <w:bookmarkEnd w:id="71"/>
    <w:p w:rsidR="002C3C7B" w:rsidRPr="000F536C" w:rsidRDefault="002C3C7B" w:rsidP="002C3C7B">
      <w:pPr>
        <w:pStyle w:val="1"/>
        <w:spacing w:before="0" w:after="0" w:line="360" w:lineRule="auto"/>
        <w:jc w:val="center"/>
        <w:rPr>
          <w:rFonts w:ascii="Sylfaen" w:hAnsi="Sylfaen"/>
          <w:color w:val="FF0000"/>
          <w:sz w:val="16"/>
          <w:szCs w:val="16"/>
        </w:rPr>
      </w:pPr>
      <w:r w:rsidRPr="000F536C">
        <w:rPr>
          <w:rFonts w:ascii="Sylfaen" w:hAnsi="Sylfaen"/>
          <w:noProof/>
          <w:color w:val="FF0000"/>
          <w:sz w:val="16"/>
          <w:szCs w:val="16"/>
          <w:lang w:val="ru-RU" w:eastAsia="ru-RU"/>
        </w:rPr>
        <w:drawing>
          <wp:inline distT="0" distB="0" distL="0" distR="0" wp14:anchorId="08A3289F" wp14:editId="765A2111">
            <wp:extent cx="6134100" cy="7934325"/>
            <wp:effectExtent l="0" t="0" r="0" b="9525"/>
            <wp:docPr id="2" name="Рисунок 2" descr="Yeghe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eghegi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7B" w:rsidRPr="000F536C" w:rsidRDefault="002C3C7B" w:rsidP="002C3C7B">
      <w:pPr>
        <w:pStyle w:val="1"/>
        <w:jc w:val="center"/>
        <w:rPr>
          <w:rFonts w:ascii="Sylfaen" w:hAnsi="Sylfaen"/>
          <w:sz w:val="16"/>
          <w:szCs w:val="16"/>
        </w:rPr>
      </w:pPr>
      <w:r w:rsidRPr="000F536C">
        <w:rPr>
          <w:b w:val="0"/>
          <w:sz w:val="16"/>
          <w:szCs w:val="16"/>
        </w:rPr>
        <w:br w:type="page"/>
      </w:r>
      <w:bookmarkStart w:id="74" w:name="_Toc17796559"/>
      <w:bookmarkStart w:id="75" w:name="_Toc524700612"/>
      <w:r w:rsidRPr="000F536C">
        <w:rPr>
          <w:rFonts w:ascii="Sylfaen" w:hAnsi="Sylfaen"/>
          <w:sz w:val="16"/>
          <w:szCs w:val="16"/>
        </w:rPr>
        <w:lastRenderedPageBreak/>
        <w:t xml:space="preserve">10. </w:t>
      </w:r>
      <w:r w:rsidRPr="000F536C">
        <w:rPr>
          <w:rFonts w:ascii="Sylfaen" w:hAnsi="Sylfaen" w:cs="Sylfaen"/>
          <w:sz w:val="16"/>
          <w:szCs w:val="16"/>
        </w:rPr>
        <w:t>Եղեգիս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բնակավայրում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արոտատեղամասերի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բաշխվածության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գոտիականության</w:t>
      </w:r>
      <w:r w:rsidRPr="000F536C">
        <w:rPr>
          <w:rFonts w:ascii="Sylfaen" w:hAnsi="Sylfaen"/>
          <w:sz w:val="16"/>
          <w:szCs w:val="16"/>
        </w:rPr>
        <w:t xml:space="preserve"> </w:t>
      </w:r>
      <w:r w:rsidRPr="000F536C">
        <w:rPr>
          <w:rFonts w:ascii="Sylfaen" w:hAnsi="Sylfaen" w:cs="Sylfaen"/>
          <w:sz w:val="16"/>
          <w:szCs w:val="16"/>
        </w:rPr>
        <w:t>քարտեզ</w:t>
      </w:r>
      <w:bookmarkEnd w:id="74"/>
    </w:p>
    <w:p w:rsidR="002C3C7B" w:rsidRPr="000F536C" w:rsidRDefault="002C3C7B" w:rsidP="002C3C7B">
      <w:pPr>
        <w:rPr>
          <w:sz w:val="16"/>
          <w:szCs w:val="16"/>
        </w:rPr>
      </w:pPr>
    </w:p>
    <w:p w:rsidR="002C3C7B" w:rsidRPr="000F536C" w:rsidRDefault="002C3C7B" w:rsidP="002C3C7B">
      <w:pPr>
        <w:pStyle w:val="1"/>
        <w:spacing w:before="0" w:after="0" w:line="360" w:lineRule="auto"/>
        <w:ind w:hanging="180"/>
        <w:jc w:val="center"/>
        <w:rPr>
          <w:rFonts w:ascii="Sylfaen" w:hAnsi="Sylfaen"/>
          <w:sz w:val="16"/>
          <w:szCs w:val="16"/>
          <w:lang w:val="fr-FR"/>
        </w:rPr>
      </w:pPr>
      <w:r w:rsidRPr="000F536C">
        <w:rPr>
          <w:rFonts w:ascii="Sylfaen" w:hAnsi="Sylfaen"/>
          <w:noProof/>
          <w:sz w:val="16"/>
          <w:szCs w:val="16"/>
          <w:lang w:val="ru-RU" w:eastAsia="ru-RU"/>
        </w:rPr>
        <w:drawing>
          <wp:inline distT="0" distB="0" distL="0" distR="0" wp14:anchorId="7AB38A0D" wp14:editId="54C3FEBF">
            <wp:extent cx="6800850" cy="7410450"/>
            <wp:effectExtent l="0" t="0" r="0" b="0"/>
            <wp:docPr id="1" name="Рисунок 1" descr="Yeghegis_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ghegis_Elevatio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7B" w:rsidRPr="000F536C" w:rsidRDefault="002C3C7B" w:rsidP="002C3C7B">
      <w:pPr>
        <w:spacing w:line="360" w:lineRule="auto"/>
        <w:rPr>
          <w:rFonts w:ascii="Sylfaen" w:eastAsia="Times New Roman" w:hAnsi="Sylfaen"/>
          <w:b/>
          <w:color w:val="auto"/>
          <w:spacing w:val="0"/>
          <w:kern w:val="32"/>
          <w:sz w:val="16"/>
          <w:szCs w:val="16"/>
          <w:lang w:val="fr-FR"/>
        </w:rPr>
        <w:sectPr w:rsidR="002C3C7B" w:rsidRPr="000F536C">
          <w:pgSz w:w="11907" w:h="16840"/>
          <w:pgMar w:top="1134" w:right="709" w:bottom="567" w:left="1080" w:header="709" w:footer="1077" w:gutter="0"/>
          <w:pgNumType w:chapStyle="1"/>
          <w:cols w:space="720"/>
        </w:sectPr>
      </w:pPr>
    </w:p>
    <w:p w:rsidR="002C3C7B" w:rsidRPr="000F536C" w:rsidRDefault="002C3C7B" w:rsidP="002C3C7B">
      <w:pPr>
        <w:pStyle w:val="1"/>
        <w:spacing w:before="0" w:after="0" w:line="360" w:lineRule="auto"/>
        <w:ind w:left="-360"/>
        <w:jc w:val="center"/>
        <w:rPr>
          <w:rFonts w:ascii="Sylfaen" w:hAnsi="Sylfaen" w:cs="Sylfaen"/>
          <w:sz w:val="16"/>
          <w:szCs w:val="16"/>
          <w:lang w:val="fr-FR"/>
        </w:rPr>
      </w:pPr>
      <w:bookmarkStart w:id="76" w:name="_Toc17796560"/>
      <w:r w:rsidRPr="000F536C">
        <w:rPr>
          <w:rFonts w:ascii="Sylfaen" w:hAnsi="Sylfaen"/>
          <w:sz w:val="16"/>
          <w:szCs w:val="16"/>
          <w:lang w:val="fr-FR"/>
        </w:rPr>
        <w:lastRenderedPageBreak/>
        <w:t xml:space="preserve">11. </w:t>
      </w:r>
      <w:r w:rsidRPr="000F536C">
        <w:rPr>
          <w:rFonts w:ascii="Sylfaen" w:hAnsi="Sylfaen"/>
          <w:bCs w:val="0"/>
          <w:sz w:val="16"/>
          <w:szCs w:val="16"/>
        </w:rPr>
        <w:t>Եղեգիս</w:t>
      </w:r>
      <w:r w:rsidRPr="000F536C">
        <w:rPr>
          <w:rFonts w:ascii="Sylfaen" w:hAnsi="Sylfaen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sz w:val="16"/>
          <w:szCs w:val="16"/>
          <w:lang w:val="fr-FR"/>
        </w:rPr>
        <w:t>բնակավայրում</w:t>
      </w:r>
      <w:r w:rsidRPr="000F536C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sz w:val="16"/>
          <w:szCs w:val="16"/>
          <w:lang w:val="fr-FR"/>
        </w:rPr>
        <w:t>արոտատեղամասերի</w:t>
      </w:r>
      <w:r w:rsidRPr="000F536C">
        <w:rPr>
          <w:rFonts w:ascii="Sylfaen" w:hAnsi="Sylfaen" w:cs="Cambria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sz w:val="16"/>
          <w:szCs w:val="16"/>
          <w:lang w:val="fr-FR"/>
        </w:rPr>
        <w:t>արածեցման</w:t>
      </w:r>
      <w:r w:rsidRPr="000F536C">
        <w:rPr>
          <w:rFonts w:ascii="Sylfaen" w:hAnsi="Sylfaen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sz w:val="16"/>
          <w:szCs w:val="16"/>
          <w:lang w:val="fr-FR"/>
        </w:rPr>
        <w:t>գրաֆիկ</w:t>
      </w:r>
      <w:bookmarkEnd w:id="75"/>
      <w:bookmarkEnd w:id="76"/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0F536C">
        <w:rPr>
          <w:rFonts w:ascii="Sylfaen" w:hAnsi="Sylfaen" w:cs="Sylfaen"/>
          <w:color w:val="auto"/>
          <w:sz w:val="16"/>
          <w:szCs w:val="16"/>
        </w:rPr>
        <w:t>Աղյուսակ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0F536C">
        <w:rPr>
          <w:rFonts w:ascii="Sylfaen" w:hAnsi="Sylfaen" w:cs="Sylfaen"/>
          <w:color w:val="auto"/>
          <w:sz w:val="16"/>
          <w:szCs w:val="16"/>
        </w:rPr>
        <w:t>ա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Եղեգիս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ԽԵԿ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0F536C">
        <w:rPr>
          <w:rFonts w:ascii="Sylfaen" w:hAnsi="Sylfaen" w:cs="Sylfaen"/>
          <w:color w:val="auto"/>
          <w:sz w:val="16"/>
          <w:szCs w:val="16"/>
        </w:rPr>
        <w:t>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և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ՄԵԿ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0F536C">
        <w:rPr>
          <w:rFonts w:ascii="Sylfaen" w:hAnsi="Sylfaen" w:cs="Sylfaen"/>
          <w:color w:val="auto"/>
          <w:sz w:val="16"/>
          <w:szCs w:val="16"/>
        </w:rPr>
        <w:t>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արածեցման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գրաֆիկ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0F536C">
        <w:rPr>
          <w:rFonts w:ascii="Sylfaen" w:hAnsi="Sylfaen"/>
          <w:color w:val="auto"/>
          <w:sz w:val="16"/>
          <w:szCs w:val="16"/>
          <w:lang w:val="fr-FR"/>
        </w:rPr>
        <w:t xml:space="preserve">(1-ին </w:t>
      </w:r>
      <w:r w:rsidRPr="000F536C">
        <w:rPr>
          <w:rFonts w:ascii="Sylfaen" w:hAnsi="Sylfaen"/>
          <w:color w:val="auto"/>
          <w:sz w:val="16"/>
          <w:szCs w:val="16"/>
        </w:rPr>
        <w:t>տարի</w:t>
      </w:r>
      <w:r w:rsidRPr="000F536C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82"/>
        <w:gridCol w:w="2116"/>
        <w:gridCol w:w="899"/>
        <w:gridCol w:w="1439"/>
        <w:gridCol w:w="1529"/>
        <w:gridCol w:w="1439"/>
        <w:gridCol w:w="810"/>
        <w:gridCol w:w="540"/>
        <w:gridCol w:w="486"/>
      </w:tblGrid>
      <w:tr w:rsidR="002C3C7B" w:rsidRPr="000F536C" w:rsidTr="002C3C7B">
        <w:trPr>
          <w:trHeight w:val="1173"/>
        </w:trPr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ռո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0F536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0F536C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2C3C7B" w:rsidRPr="000F536C" w:rsidTr="002C3C7B">
        <w:trPr>
          <w:trHeight w:val="59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Կոշըվանք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52.15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20/04-15/05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12/10-31/10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Եզդիների սարատեղ-1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72.42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15/05-14/07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Եզդիների սարատեղ-2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19.95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15/07-04/08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109.62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05/08-11/10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5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1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93.76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20/04-25/05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10-05/10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109.62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26/05-25/06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104.32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26/06-09/09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60.0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06-31/10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2C3C7B" w:rsidRPr="000F536C" w:rsidTr="002C3C7B">
        <w:tc>
          <w:tcPr>
            <w:tcW w:w="58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1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10/03-01/05</w:t>
            </w:r>
          </w:p>
        </w:tc>
        <w:tc>
          <w:tcPr>
            <w:tcW w:w="14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12/11-10/12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80</w:t>
            </w:r>
          </w:p>
        </w:tc>
        <w:tc>
          <w:tcPr>
            <w:tcW w:w="54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91.48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02/05-20/08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104.32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21/08-01/10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93.76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02/10-11/11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2C3C7B" w:rsidRPr="000F536C" w:rsidRDefault="002C3C7B" w:rsidP="002C3C7B">
      <w:pPr>
        <w:rPr>
          <w:rFonts w:ascii="Sylfaen" w:hAnsi="Sylfaen"/>
          <w:sz w:val="16"/>
          <w:szCs w:val="16"/>
        </w:rPr>
      </w:pPr>
      <w:r w:rsidRPr="000F536C">
        <w:rPr>
          <w:rFonts w:ascii="Sylfaen" w:hAnsi="Sylfaen"/>
          <w:b/>
          <w:sz w:val="16"/>
          <w:szCs w:val="16"/>
        </w:rPr>
        <w:t>Ծանոթություն</w:t>
      </w:r>
      <w:r w:rsidRPr="000F536C">
        <w:rPr>
          <w:rFonts w:ascii="Sylfaen" w:hAnsi="Sylfaen"/>
          <w:sz w:val="16"/>
          <w:szCs w:val="16"/>
        </w:rPr>
        <w:t>, ՈՒ- ուշ ժամկետում արածեցում: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right"/>
        <w:rPr>
          <w:rFonts w:ascii="Sylfaen" w:hAnsi="Sylfaen" w:cs="Sylfaen"/>
          <w:color w:val="auto"/>
          <w:sz w:val="16"/>
          <w:szCs w:val="16"/>
          <w:lang w:val="fr-FR"/>
        </w:rPr>
      </w:pPr>
      <w:r w:rsidRPr="000F536C">
        <w:rPr>
          <w:rFonts w:ascii="Sylfaen" w:hAnsi="Sylfaen"/>
          <w:color w:val="FF0000"/>
          <w:sz w:val="16"/>
          <w:szCs w:val="16"/>
          <w:lang w:val="fr-FR"/>
        </w:rPr>
        <w:br w:type="page"/>
      </w:r>
      <w:r w:rsidRPr="000F536C">
        <w:rPr>
          <w:rFonts w:ascii="Sylfaen" w:hAnsi="Sylfaen"/>
          <w:color w:val="FF0000"/>
          <w:sz w:val="16"/>
          <w:szCs w:val="16"/>
          <w:lang w:val="fr-FR"/>
        </w:rPr>
        <w:lastRenderedPageBreak/>
        <w:t xml:space="preserve">                                          </w:t>
      </w:r>
      <w:r w:rsidRPr="000F536C">
        <w:rPr>
          <w:rFonts w:ascii="Sylfaen" w:hAnsi="Sylfaen" w:cs="Sylfaen"/>
          <w:color w:val="auto"/>
          <w:sz w:val="16"/>
          <w:szCs w:val="16"/>
        </w:rPr>
        <w:t>Աղյուսակ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14</w:t>
      </w:r>
      <w:r w:rsidRPr="000F536C">
        <w:rPr>
          <w:rFonts w:ascii="Sylfaen" w:hAnsi="Sylfaen" w:cs="Sylfaen"/>
          <w:color w:val="auto"/>
          <w:sz w:val="16"/>
          <w:szCs w:val="16"/>
        </w:rPr>
        <w:t>բ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 w:cs="Sylfaen"/>
          <w:color w:val="auto"/>
          <w:sz w:val="16"/>
          <w:szCs w:val="16"/>
          <w:lang w:val="fr-FR"/>
        </w:rPr>
      </w:pPr>
      <w:r w:rsidRPr="000F536C">
        <w:rPr>
          <w:rFonts w:ascii="Sylfaen" w:hAnsi="Sylfaen"/>
          <w:bCs w:val="0"/>
          <w:color w:val="auto"/>
          <w:spacing w:val="0"/>
          <w:sz w:val="16"/>
          <w:szCs w:val="16"/>
        </w:rPr>
        <w:t>Եղեգիս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բնակավայրի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ԽԵԿ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0F536C">
        <w:rPr>
          <w:rFonts w:ascii="Sylfaen" w:hAnsi="Sylfaen" w:cs="Sylfaen"/>
          <w:color w:val="auto"/>
          <w:sz w:val="16"/>
          <w:szCs w:val="16"/>
        </w:rPr>
        <w:t>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և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ՄԵԿ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>-</w:t>
      </w:r>
      <w:r w:rsidRPr="000F536C">
        <w:rPr>
          <w:rFonts w:ascii="Sylfaen" w:hAnsi="Sylfaen" w:cs="Sylfaen"/>
          <w:color w:val="auto"/>
          <w:sz w:val="16"/>
          <w:szCs w:val="16"/>
        </w:rPr>
        <w:t>ի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արածեցման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  <w:r w:rsidRPr="000F536C">
        <w:rPr>
          <w:rFonts w:ascii="Sylfaen" w:hAnsi="Sylfaen" w:cs="Sylfaen"/>
          <w:color w:val="auto"/>
          <w:sz w:val="16"/>
          <w:szCs w:val="16"/>
        </w:rPr>
        <w:t>գրաֆիկ</w:t>
      </w:r>
      <w:r w:rsidRPr="000F536C">
        <w:rPr>
          <w:rFonts w:ascii="Sylfaen" w:hAnsi="Sylfaen" w:cs="Sylfaen"/>
          <w:color w:val="auto"/>
          <w:sz w:val="16"/>
          <w:szCs w:val="16"/>
          <w:lang w:val="fr-FR"/>
        </w:rPr>
        <w:t xml:space="preserve"> </w:t>
      </w:r>
    </w:p>
    <w:p w:rsidR="002C3C7B" w:rsidRPr="000F536C" w:rsidRDefault="002C3C7B" w:rsidP="002C3C7B">
      <w:pPr>
        <w:tabs>
          <w:tab w:val="left" w:pos="360"/>
        </w:tabs>
        <w:spacing w:line="360" w:lineRule="auto"/>
        <w:ind w:firstLine="426"/>
        <w:jc w:val="center"/>
        <w:rPr>
          <w:rFonts w:ascii="Sylfaen" w:hAnsi="Sylfaen"/>
          <w:color w:val="auto"/>
          <w:sz w:val="16"/>
          <w:szCs w:val="16"/>
          <w:lang w:val="fr-FR"/>
        </w:rPr>
      </w:pPr>
      <w:r w:rsidRPr="000F536C">
        <w:rPr>
          <w:rFonts w:ascii="Sylfaen" w:hAnsi="Sylfaen"/>
          <w:color w:val="auto"/>
          <w:sz w:val="16"/>
          <w:szCs w:val="16"/>
          <w:lang w:val="fr-FR"/>
        </w:rPr>
        <w:t xml:space="preserve">(2-րդ </w:t>
      </w:r>
      <w:r w:rsidRPr="000F536C">
        <w:rPr>
          <w:rFonts w:ascii="Sylfaen" w:hAnsi="Sylfaen"/>
          <w:color w:val="auto"/>
          <w:sz w:val="16"/>
          <w:szCs w:val="16"/>
        </w:rPr>
        <w:t>տարի</w:t>
      </w:r>
      <w:r w:rsidRPr="000F536C">
        <w:rPr>
          <w:rFonts w:ascii="Sylfaen" w:hAnsi="Sylfaen"/>
          <w:color w:val="auto"/>
          <w:sz w:val="16"/>
          <w:szCs w:val="16"/>
          <w:lang w:val="fr-FR"/>
        </w:rPr>
        <w:t>)</w:t>
      </w:r>
    </w:p>
    <w:tbl>
      <w:tblPr>
        <w:tblpPr w:leftFromText="180" w:rightFromText="180" w:vertAnchor="text" w:tblpXSpec="right" w:tblpY="1"/>
        <w:tblOverlap w:val="never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2125"/>
        <w:gridCol w:w="900"/>
        <w:gridCol w:w="1350"/>
        <w:gridCol w:w="1530"/>
        <w:gridCol w:w="1350"/>
        <w:gridCol w:w="810"/>
        <w:gridCol w:w="630"/>
        <w:gridCol w:w="486"/>
      </w:tblGrid>
      <w:tr w:rsidR="002C3C7B" w:rsidRPr="000F536C" w:rsidTr="002C3C7B">
        <w:trPr>
          <w:trHeight w:val="1173"/>
        </w:trPr>
        <w:tc>
          <w:tcPr>
            <w:tcW w:w="3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639"/>
              <w:rPr>
                <w:rFonts w:ascii="Sylfaen" w:hAnsi="Sylfaen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Արոտավայրի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Նախիր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հոտ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Արածեցման ժամ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կետ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 (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պտույտ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ներ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ռո</w:t>
            </w:r>
            <w:r w:rsidRPr="000F536C">
              <w:rPr>
                <w:rFonts w:ascii="Sylfaen" w:hAnsi="Sylfaen"/>
                <w:sz w:val="16"/>
                <w:szCs w:val="16"/>
              </w:rPr>
              <w:softHyphen/>
            </w:r>
            <w:r w:rsidRPr="000F536C">
              <w:rPr>
                <w:rFonts w:ascii="Sylfaen" w:hAnsi="Sylfaen" w:cs="Sylfaen"/>
                <w:sz w:val="16"/>
                <w:szCs w:val="16"/>
              </w:rPr>
              <w:t>տացիա</w:t>
            </w:r>
            <w:r w:rsidRPr="000F536C">
              <w:rPr>
                <w:rFonts w:ascii="Sylfaen" w:hAnsi="Sylfaen"/>
                <w:sz w:val="16"/>
                <w:szCs w:val="16"/>
              </w:rPr>
              <w:t>)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Արածեցման տևողություն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օր</w:t>
            </w:r>
          </w:p>
        </w:tc>
        <w:tc>
          <w:tcPr>
            <w:tcW w:w="1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  <w:lang w:val="fr-FR"/>
              </w:rPr>
              <w:t>Խոզանի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 xml:space="preserve">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բարձր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. (</w:t>
            </w:r>
            <w:r w:rsidRPr="000F536C">
              <w:rPr>
                <w:rFonts w:ascii="Sylfaen" w:hAnsi="Sylfaen" w:cs="Sylfaen"/>
                <w:sz w:val="16"/>
                <w:szCs w:val="16"/>
                <w:lang w:val="fr-FR"/>
              </w:rPr>
              <w:t>սմ</w:t>
            </w: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)</w:t>
            </w:r>
          </w:p>
        </w:tc>
      </w:tr>
      <w:tr w:rsidR="002C3C7B" w:rsidRPr="000F536C" w:rsidTr="002C3C7B">
        <w:trPr>
          <w:trHeight w:val="5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Համարը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Անվանումը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Տարածքը</w:t>
            </w:r>
            <w:r w:rsidRPr="000F536C">
              <w:rPr>
                <w:rFonts w:ascii="Sylfaen" w:hAnsi="Sylfaen"/>
                <w:sz w:val="16"/>
                <w:szCs w:val="16"/>
              </w:rPr>
              <w:t xml:space="preserve">,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հա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hy-AM"/>
              </w:rPr>
              <w:t xml:space="preserve">I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hy-AM"/>
              </w:rPr>
              <w:t xml:space="preserve">II </w:t>
            </w:r>
            <w:r w:rsidRPr="000F536C">
              <w:rPr>
                <w:rFonts w:ascii="Sylfaen" w:hAnsi="Sylfaen" w:cs="Sylfaen"/>
                <w:sz w:val="16"/>
                <w:szCs w:val="16"/>
              </w:rPr>
              <w:t>շրջան</w:t>
            </w: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C7B" w:rsidRPr="000F536C" w:rsidRDefault="002C3C7B">
            <w:pPr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bCs w:val="0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մուտք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ելք</w:t>
            </w:r>
          </w:p>
        </w:tc>
      </w:tr>
      <w:tr w:rsidR="002C3C7B" w:rsidRPr="000F536C" w:rsidTr="002C3C7B">
        <w:trPr>
          <w:trHeight w:val="59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 w:cs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 w:cs="Sylfaen"/>
                <w:sz w:val="16"/>
                <w:szCs w:val="16"/>
              </w:rPr>
            </w:pPr>
            <w:r w:rsidRPr="000F536C">
              <w:rPr>
                <w:rFonts w:ascii="Sylfaen" w:hAnsi="Sylfaen" w:cs="Sylfaen"/>
                <w:sz w:val="16"/>
                <w:szCs w:val="16"/>
              </w:rPr>
              <w:t>30.0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20/04-05/05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5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  <w:lang w:val="fr-FR"/>
              </w:rPr>
            </w:pPr>
            <w:r w:rsidRPr="000F536C">
              <w:rPr>
                <w:rFonts w:ascii="Sylfaen" w:hAnsi="Sylfaen"/>
                <w:sz w:val="16"/>
                <w:szCs w:val="16"/>
                <w:lang w:val="fr-FR"/>
              </w:rPr>
              <w:t>3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Կոշըվանք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52.15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06-14/05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12/10-31/10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Եզդիների սարատեղ-1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72.42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15/05-14/07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Եզդիների սարատեղ-2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19.95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15/07-04/08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109.62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ԽԵԿ-1-2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ind w:left="-52" w:right="-44"/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05/08-11/10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1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93.76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20/04-05/05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21/08-04/10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60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9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109.62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06/05-05/06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30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104.32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06/06-20/08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75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14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Վարելահողերի և խոտհարքների խոզան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60.0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ԽԵԿ-3-4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05-30/10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25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</w:tr>
      <w:tr w:rsidR="002C3C7B" w:rsidRPr="000F536C" w:rsidTr="002C3C7B"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2125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Այլ հողատեսքերի բուսածածք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50.0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10/03-01/05</w:t>
            </w:r>
          </w:p>
        </w:tc>
        <w:tc>
          <w:tcPr>
            <w:tcW w:w="135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12/11-10/12</w:t>
            </w:r>
          </w:p>
        </w:tc>
        <w:tc>
          <w:tcPr>
            <w:tcW w:w="81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80</w:t>
            </w:r>
          </w:p>
        </w:tc>
        <w:tc>
          <w:tcPr>
            <w:tcW w:w="63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-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91.48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02/05-20/08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-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3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Թազայլու-2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104.32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21/08-01/10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16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  <w:tr w:rsidR="002C3C7B" w:rsidRPr="000F536C" w:rsidTr="002C3C7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both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Վերին սև հողեր-1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93.76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ՄԵԿ-1-2-3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ՈՒ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02/10-11/11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vAlign w:val="center"/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color w:val="auto"/>
                <w:sz w:val="16"/>
                <w:szCs w:val="16"/>
              </w:rPr>
            </w:pPr>
            <w:r w:rsidRPr="000F536C">
              <w:rPr>
                <w:rFonts w:ascii="Sylfaen" w:hAnsi="Sylfaen"/>
                <w:color w:val="auto"/>
                <w:sz w:val="16"/>
                <w:szCs w:val="16"/>
              </w:rPr>
              <w:t>18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C3C7B" w:rsidRPr="000F536C" w:rsidRDefault="002C3C7B">
            <w:pPr>
              <w:jc w:val="center"/>
              <w:rPr>
                <w:rFonts w:ascii="Sylfaen" w:hAnsi="Sylfaen"/>
                <w:sz w:val="16"/>
                <w:szCs w:val="16"/>
              </w:rPr>
            </w:pPr>
            <w:r w:rsidRPr="000F536C">
              <w:rPr>
                <w:rFonts w:ascii="Sylfaen" w:hAnsi="Sylfaen"/>
                <w:sz w:val="16"/>
                <w:szCs w:val="16"/>
              </w:rPr>
              <w:t>5</w:t>
            </w:r>
          </w:p>
        </w:tc>
      </w:tr>
    </w:tbl>
    <w:p w:rsidR="002C3C7B" w:rsidRPr="000F536C" w:rsidRDefault="002C3C7B" w:rsidP="002C3C7B">
      <w:pPr>
        <w:rPr>
          <w:rFonts w:ascii="Sylfaen" w:hAnsi="Sylfaen"/>
          <w:sz w:val="16"/>
          <w:szCs w:val="16"/>
        </w:rPr>
      </w:pPr>
      <w:r w:rsidRPr="000F536C">
        <w:rPr>
          <w:rFonts w:ascii="Sylfaen" w:hAnsi="Sylfaen"/>
          <w:b/>
          <w:sz w:val="16"/>
          <w:szCs w:val="16"/>
        </w:rPr>
        <w:t>Ծանոթություն</w:t>
      </w:r>
      <w:r w:rsidRPr="000F536C">
        <w:rPr>
          <w:rFonts w:ascii="Sylfaen" w:hAnsi="Sylfaen"/>
          <w:sz w:val="16"/>
          <w:szCs w:val="16"/>
        </w:rPr>
        <w:t>, ՈՒ- ուշ ժամկետում արածեցում:</w:t>
      </w:r>
    </w:p>
    <w:p w:rsidR="00826DE4" w:rsidRPr="000F536C" w:rsidRDefault="00826DE4">
      <w:pPr>
        <w:rPr>
          <w:sz w:val="16"/>
          <w:szCs w:val="16"/>
        </w:rPr>
      </w:pPr>
    </w:p>
    <w:sectPr w:rsidR="00826DE4" w:rsidRPr="000F5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LatArm">
    <w:panose1 w:val="020B0604020202020204"/>
    <w:charset w:val="CC"/>
    <w:family w:val="swiss"/>
    <w:pitch w:val="variable"/>
    <w:sig w:usb0="00000607" w:usb1="00000000" w:usb2="00000000" w:usb3="00000000" w:csb0="0000000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Armenian">
    <w:panose1 w:val="02020603050405020304"/>
    <w:charset w:val="CC"/>
    <w:family w:val="roman"/>
    <w:pitch w:val="variable"/>
    <w:sig w:usb0="00000607" w:usb1="00000000" w:usb2="00000000" w:usb3="00000000" w:csb0="00000087" w:csb1="00000000"/>
  </w:font>
  <w:font w:name="Arial Armenian">
    <w:panose1 w:val="020B0604020202020204"/>
    <w:charset w:val="CC"/>
    <w:family w:val="swiss"/>
    <w:pitch w:val="variable"/>
    <w:sig w:usb0="80000607" w:usb1="00000048" w:usb2="00000000" w:usb3="00000000" w:csb0="0000001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03516"/>
    <w:multiLevelType w:val="hybridMultilevel"/>
    <w:tmpl w:val="831405A8"/>
    <w:lvl w:ilvl="0" w:tplc="588421D6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65AD619B"/>
    <w:multiLevelType w:val="hybridMultilevel"/>
    <w:tmpl w:val="00CE4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A10"/>
    <w:rsid w:val="000F536C"/>
    <w:rsid w:val="002C3C7B"/>
    <w:rsid w:val="00826DE4"/>
    <w:rsid w:val="008B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C3C7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C7B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C7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2C3C7B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2C3C7B"/>
    <w:rPr>
      <w:color w:val="0000FF"/>
      <w:u w:val="single"/>
    </w:rPr>
  </w:style>
  <w:style w:type="character" w:styleId="a4">
    <w:name w:val="FollowedHyperlink"/>
    <w:semiHidden/>
    <w:unhideWhenUsed/>
    <w:rsid w:val="002C3C7B"/>
    <w:rPr>
      <w:color w:val="800080"/>
      <w:u w:val="single"/>
    </w:rPr>
  </w:style>
  <w:style w:type="paragraph" w:styleId="a5">
    <w:name w:val="Normal (Web)"/>
    <w:basedOn w:val="a"/>
    <w:semiHidden/>
    <w:unhideWhenUsed/>
    <w:rsid w:val="002C3C7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C3C7B"/>
    <w:pPr>
      <w:tabs>
        <w:tab w:val="right" w:leader="dot" w:pos="98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C3C7B"/>
    <w:pPr>
      <w:tabs>
        <w:tab w:val="right" w:leader="dot" w:pos="9487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3C7B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2C3C7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2C3C7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2C3C7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2C3C7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2C3C7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2C3C7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2C3C7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C3C7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2C3C7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2C3C7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2C3C7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2C3C7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C3C7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2C3C7B"/>
    <w:rPr>
      <w:b/>
    </w:rPr>
  </w:style>
  <w:style w:type="character" w:customStyle="1" w:styleId="af4">
    <w:name w:val="Тема примечания Знак"/>
    <w:basedOn w:val="a9"/>
    <w:link w:val="af3"/>
    <w:semiHidden/>
    <w:rsid w:val="002C3C7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2C3C7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2C3C7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2C3C7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2C3C7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2C3C7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2C3C7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2C3C7B"/>
    <w:rPr>
      <w:vertAlign w:val="superscript"/>
    </w:rPr>
  </w:style>
  <w:style w:type="character" w:styleId="afc">
    <w:name w:val="annotation reference"/>
    <w:semiHidden/>
    <w:unhideWhenUsed/>
    <w:rsid w:val="002C3C7B"/>
    <w:rPr>
      <w:sz w:val="16"/>
      <w:szCs w:val="16"/>
    </w:rPr>
  </w:style>
  <w:style w:type="character" w:customStyle="1" w:styleId="apple-converted-space">
    <w:name w:val="apple-converted-space"/>
    <w:basedOn w:val="a0"/>
    <w:rsid w:val="002C3C7B"/>
  </w:style>
  <w:style w:type="character" w:customStyle="1" w:styleId="apple-style-span">
    <w:name w:val="apple-style-span"/>
    <w:basedOn w:val="a0"/>
    <w:rsid w:val="002C3C7B"/>
  </w:style>
  <w:style w:type="character" w:customStyle="1" w:styleId="12">
    <w:name w:val="Тема примечания Знак1"/>
    <w:basedOn w:val="a9"/>
    <w:semiHidden/>
    <w:rsid w:val="002C3C7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2C3C7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2C3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C3C7B"/>
    <w:pPr>
      <w:keepNext/>
      <w:spacing w:before="240" w:after="60"/>
      <w:outlineLvl w:val="0"/>
    </w:pPr>
    <w:rPr>
      <w:rFonts w:ascii="Cambria" w:eastAsia="Times New Roman" w:hAnsi="Cambria"/>
      <w:b/>
      <w:color w:val="auto"/>
      <w:spacing w:val="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C7B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3C7B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2C3C7B"/>
    <w:rPr>
      <w:rFonts w:ascii="Cambria" w:eastAsia="Times New Roman" w:hAnsi="Cambria" w:cs="Times New Roman"/>
      <w:b/>
      <w:bCs/>
      <w:i/>
      <w:iCs/>
      <w:color w:val="000000"/>
      <w:spacing w:val="20"/>
      <w:sz w:val="28"/>
      <w:szCs w:val="28"/>
      <w:lang w:val="x-none" w:eastAsia="x-none"/>
    </w:rPr>
  </w:style>
  <w:style w:type="character" w:styleId="a3">
    <w:name w:val="Hyperlink"/>
    <w:uiPriority w:val="99"/>
    <w:semiHidden/>
    <w:unhideWhenUsed/>
    <w:rsid w:val="002C3C7B"/>
    <w:rPr>
      <w:color w:val="0000FF"/>
      <w:u w:val="single"/>
    </w:rPr>
  </w:style>
  <w:style w:type="character" w:styleId="a4">
    <w:name w:val="FollowedHyperlink"/>
    <w:semiHidden/>
    <w:unhideWhenUsed/>
    <w:rsid w:val="002C3C7B"/>
    <w:rPr>
      <w:color w:val="800080"/>
      <w:u w:val="single"/>
    </w:rPr>
  </w:style>
  <w:style w:type="paragraph" w:styleId="a5">
    <w:name w:val="Normal (Web)"/>
    <w:basedOn w:val="a"/>
    <w:semiHidden/>
    <w:unhideWhenUsed/>
    <w:rsid w:val="002C3C7B"/>
    <w:pPr>
      <w:spacing w:before="100" w:beforeAutospacing="1" w:after="100" w:afterAutospacing="1"/>
    </w:pPr>
    <w:rPr>
      <w:rFonts w:eastAsia="Times New Roman"/>
      <w:bCs w:val="0"/>
      <w:color w:val="auto"/>
      <w:spacing w:val="0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C3C7B"/>
    <w:pPr>
      <w:tabs>
        <w:tab w:val="right" w:leader="dot" w:pos="9810"/>
      </w:tabs>
      <w:spacing w:line="360" w:lineRule="auto"/>
      <w:ind w:right="-1"/>
      <w:jc w:val="both"/>
    </w:pPr>
    <w:rPr>
      <w:rFonts w:ascii="Sylfaen" w:hAnsi="Sylfaen" w:cs="Sylfaen"/>
      <w:noProof/>
      <w:color w:val="auto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2C3C7B"/>
    <w:pPr>
      <w:tabs>
        <w:tab w:val="right" w:leader="dot" w:pos="9487"/>
      </w:tabs>
      <w:spacing w:line="360" w:lineRule="auto"/>
      <w:jc w:val="both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3C7B"/>
    <w:pPr>
      <w:spacing w:after="100" w:line="276" w:lineRule="auto"/>
      <w:ind w:left="440"/>
    </w:pPr>
    <w:rPr>
      <w:rFonts w:ascii="Calibri" w:eastAsia="Times New Roman" w:hAnsi="Calibri"/>
      <w:bCs w:val="0"/>
      <w:color w:val="auto"/>
      <w:spacing w:val="0"/>
      <w:sz w:val="22"/>
    </w:rPr>
  </w:style>
  <w:style w:type="paragraph" w:styleId="a6">
    <w:name w:val="footnote text"/>
    <w:basedOn w:val="a"/>
    <w:link w:val="a7"/>
    <w:uiPriority w:val="99"/>
    <w:semiHidden/>
    <w:unhideWhenUsed/>
    <w:rsid w:val="002C3C7B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2C3C7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8">
    <w:name w:val="annotation text"/>
    <w:basedOn w:val="a"/>
    <w:link w:val="a9"/>
    <w:semiHidden/>
    <w:unhideWhenUsed/>
    <w:rsid w:val="002C3C7B"/>
    <w:rPr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2C3C7B"/>
    <w:rPr>
      <w:rFonts w:ascii="Times New Roman" w:eastAsia="Calibri" w:hAnsi="Times New Roman" w:cs="Times New Roman"/>
      <w:bCs/>
      <w:color w:val="000000"/>
      <w:spacing w:val="20"/>
      <w:sz w:val="20"/>
      <w:szCs w:val="20"/>
      <w:lang w:val="x-none" w:eastAsia="x-none"/>
    </w:rPr>
  </w:style>
  <w:style w:type="paragraph" w:styleId="aa">
    <w:name w:val="header"/>
    <w:basedOn w:val="a"/>
    <w:link w:val="ab"/>
    <w:semiHidden/>
    <w:unhideWhenUsed/>
    <w:rsid w:val="002C3C7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semiHidden/>
    <w:rsid w:val="002C3C7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2C3C7B"/>
    <w:pPr>
      <w:tabs>
        <w:tab w:val="center" w:pos="4320"/>
        <w:tab w:val="right" w:pos="8640"/>
      </w:tabs>
    </w:pPr>
    <w:rPr>
      <w:szCs w:val="20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2C3C7B"/>
    <w:rPr>
      <w:rFonts w:ascii="Times New Roman" w:eastAsia="Calibri" w:hAnsi="Times New Roman" w:cs="Times New Roman"/>
      <w:bCs/>
      <w:color w:val="000000"/>
      <w:spacing w:val="20"/>
      <w:sz w:val="24"/>
      <w:szCs w:val="20"/>
      <w:lang w:val="x-none" w:eastAsia="x-none"/>
    </w:rPr>
  </w:style>
  <w:style w:type="paragraph" w:styleId="ae">
    <w:name w:val="caption"/>
    <w:basedOn w:val="a"/>
    <w:next w:val="a"/>
    <w:semiHidden/>
    <w:unhideWhenUsed/>
    <w:qFormat/>
    <w:rsid w:val="002C3C7B"/>
    <w:pPr>
      <w:spacing w:before="120" w:after="60" w:line="276" w:lineRule="auto"/>
    </w:pPr>
    <w:rPr>
      <w:rFonts w:ascii="Arial" w:eastAsia="Times New Roman" w:hAnsi="Arial"/>
      <w:b/>
      <w:color w:val="auto"/>
      <w:spacing w:val="0"/>
      <w:sz w:val="18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2C3C7B"/>
    <w:pPr>
      <w:spacing w:line="408" w:lineRule="auto"/>
      <w:jc w:val="both"/>
    </w:pPr>
    <w:rPr>
      <w:rFonts w:ascii="Arial LatArm" w:eastAsia="Times New Roman" w:hAnsi="Arial LatArm"/>
      <w:bCs w:val="0"/>
      <w:color w:val="auto"/>
      <w:spacing w:val="0"/>
      <w:szCs w:val="20"/>
      <w:lang w:val="x-none" w:eastAsia="x-none"/>
    </w:rPr>
  </w:style>
  <w:style w:type="character" w:customStyle="1" w:styleId="af0">
    <w:name w:val="Основной текст Знак"/>
    <w:basedOn w:val="a0"/>
    <w:link w:val="af"/>
    <w:semiHidden/>
    <w:rsid w:val="002C3C7B"/>
    <w:rPr>
      <w:rFonts w:ascii="Arial LatArm" w:eastAsia="Times New Roman" w:hAnsi="Arial LatArm" w:cs="Times New Roman"/>
      <w:sz w:val="24"/>
      <w:szCs w:val="20"/>
      <w:lang w:val="x-none" w:eastAsia="x-none"/>
    </w:rPr>
  </w:style>
  <w:style w:type="paragraph" w:styleId="af1">
    <w:name w:val="Document Map"/>
    <w:basedOn w:val="a"/>
    <w:link w:val="af2"/>
    <w:uiPriority w:val="99"/>
    <w:semiHidden/>
    <w:unhideWhenUsed/>
    <w:rsid w:val="002C3C7B"/>
    <w:rPr>
      <w:rFonts w:ascii="Tahoma" w:hAnsi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C3C7B"/>
    <w:rPr>
      <w:rFonts w:ascii="Tahoma" w:eastAsia="Calibri" w:hAnsi="Tahoma" w:cs="Times New Roman"/>
      <w:bCs/>
      <w:color w:val="000000"/>
      <w:spacing w:val="20"/>
      <w:sz w:val="16"/>
      <w:szCs w:val="16"/>
      <w:lang w:val="en-US"/>
    </w:rPr>
  </w:style>
  <w:style w:type="paragraph" w:styleId="af3">
    <w:name w:val="annotation subject"/>
    <w:basedOn w:val="a8"/>
    <w:next w:val="a8"/>
    <w:link w:val="af4"/>
    <w:semiHidden/>
    <w:unhideWhenUsed/>
    <w:rsid w:val="002C3C7B"/>
    <w:rPr>
      <w:b/>
    </w:rPr>
  </w:style>
  <w:style w:type="character" w:customStyle="1" w:styleId="af4">
    <w:name w:val="Тема примечания Знак"/>
    <w:basedOn w:val="a9"/>
    <w:link w:val="af3"/>
    <w:semiHidden/>
    <w:rsid w:val="002C3C7B"/>
    <w:rPr>
      <w:rFonts w:ascii="Times New Roman" w:eastAsia="Calibri" w:hAnsi="Times New Roman" w:cs="Times New Roman"/>
      <w:b/>
      <w:bCs/>
      <w:color w:val="000000"/>
      <w:spacing w:val="20"/>
      <w:sz w:val="20"/>
      <w:szCs w:val="20"/>
      <w:lang w:val="x-none" w:eastAsia="x-none"/>
    </w:rPr>
  </w:style>
  <w:style w:type="paragraph" w:styleId="af5">
    <w:name w:val="Balloon Text"/>
    <w:basedOn w:val="a"/>
    <w:link w:val="af6"/>
    <w:semiHidden/>
    <w:unhideWhenUsed/>
    <w:rsid w:val="002C3C7B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semiHidden/>
    <w:rsid w:val="002C3C7B"/>
    <w:rPr>
      <w:rFonts w:ascii="Tahoma" w:eastAsia="Calibri" w:hAnsi="Tahoma" w:cs="Times New Roman"/>
      <w:bCs/>
      <w:color w:val="000000"/>
      <w:spacing w:val="20"/>
      <w:sz w:val="16"/>
      <w:szCs w:val="16"/>
      <w:lang w:val="x-none" w:eastAsia="x-none"/>
    </w:rPr>
  </w:style>
  <w:style w:type="paragraph" w:styleId="af7">
    <w:name w:val="No Spacing"/>
    <w:uiPriority w:val="1"/>
    <w:qFormat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8">
    <w:name w:val="Revision"/>
    <w:uiPriority w:val="99"/>
    <w:semiHidden/>
    <w:rsid w:val="002C3C7B"/>
    <w:pPr>
      <w:spacing w:after="0" w:line="240" w:lineRule="auto"/>
    </w:pPr>
    <w:rPr>
      <w:rFonts w:ascii="Times New Roman" w:eastAsia="Calibri" w:hAnsi="Times New Roman" w:cs="Times New Roman"/>
      <w:bCs/>
      <w:color w:val="000000"/>
      <w:spacing w:val="20"/>
      <w:sz w:val="24"/>
      <w:lang w:val="en-US"/>
    </w:rPr>
  </w:style>
  <w:style w:type="paragraph" w:styleId="af9">
    <w:name w:val="List Paragraph"/>
    <w:basedOn w:val="a"/>
    <w:qFormat/>
    <w:rsid w:val="002C3C7B"/>
    <w:pPr>
      <w:spacing w:after="200" w:line="276" w:lineRule="auto"/>
      <w:ind w:left="720"/>
      <w:contextualSpacing/>
    </w:pPr>
    <w:rPr>
      <w:rFonts w:ascii="Calibri" w:eastAsia="Times New Roman" w:hAnsi="Calibri"/>
      <w:bCs w:val="0"/>
      <w:color w:val="auto"/>
      <w:spacing w:val="0"/>
      <w:sz w:val="22"/>
      <w:lang w:val="ru-RU"/>
    </w:rPr>
  </w:style>
  <w:style w:type="paragraph" w:styleId="afa">
    <w:name w:val="TOC Heading"/>
    <w:basedOn w:val="1"/>
    <w:next w:val="a"/>
    <w:uiPriority w:val="39"/>
    <w:semiHidden/>
    <w:unhideWhenUsed/>
    <w:qFormat/>
    <w:rsid w:val="002C3C7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Style1Char">
    <w:name w:val="Style1 Char"/>
    <w:link w:val="Style1"/>
    <w:locked/>
    <w:rsid w:val="002C3C7B"/>
    <w:rPr>
      <w:rFonts w:ascii="Sylfaen" w:eastAsia="Times New Roman" w:hAnsi="Sylfaen"/>
      <w:b/>
      <w:bCs/>
      <w:color w:val="000000"/>
      <w:spacing w:val="20"/>
      <w:kern w:val="32"/>
      <w:sz w:val="24"/>
      <w:szCs w:val="28"/>
      <w:lang w:val="fr-FR"/>
    </w:rPr>
  </w:style>
  <w:style w:type="paragraph" w:customStyle="1" w:styleId="Style1">
    <w:name w:val="Style1"/>
    <w:basedOn w:val="1"/>
    <w:link w:val="Style1Char"/>
    <w:qFormat/>
    <w:rsid w:val="002C3C7B"/>
    <w:pPr>
      <w:spacing w:before="0" w:after="0" w:line="360" w:lineRule="auto"/>
      <w:jc w:val="center"/>
    </w:pPr>
    <w:rPr>
      <w:rFonts w:ascii="Sylfaen" w:hAnsi="Sylfaen" w:cstheme="minorBidi"/>
      <w:color w:val="000000"/>
      <w:spacing w:val="20"/>
      <w:sz w:val="24"/>
      <w:szCs w:val="28"/>
      <w:lang w:val="fr-FR"/>
    </w:rPr>
  </w:style>
  <w:style w:type="character" w:styleId="afb">
    <w:name w:val="footnote reference"/>
    <w:uiPriority w:val="99"/>
    <w:semiHidden/>
    <w:unhideWhenUsed/>
    <w:rsid w:val="002C3C7B"/>
    <w:rPr>
      <w:vertAlign w:val="superscript"/>
    </w:rPr>
  </w:style>
  <w:style w:type="character" w:styleId="afc">
    <w:name w:val="annotation reference"/>
    <w:semiHidden/>
    <w:unhideWhenUsed/>
    <w:rsid w:val="002C3C7B"/>
    <w:rPr>
      <w:sz w:val="16"/>
      <w:szCs w:val="16"/>
    </w:rPr>
  </w:style>
  <w:style w:type="character" w:customStyle="1" w:styleId="apple-converted-space">
    <w:name w:val="apple-converted-space"/>
    <w:basedOn w:val="a0"/>
    <w:rsid w:val="002C3C7B"/>
  </w:style>
  <w:style w:type="character" w:customStyle="1" w:styleId="apple-style-span">
    <w:name w:val="apple-style-span"/>
    <w:basedOn w:val="a0"/>
    <w:rsid w:val="002C3C7B"/>
  </w:style>
  <w:style w:type="character" w:customStyle="1" w:styleId="12">
    <w:name w:val="Тема примечания Знак1"/>
    <w:basedOn w:val="a9"/>
    <w:semiHidden/>
    <w:rsid w:val="002C3C7B"/>
    <w:rPr>
      <w:rFonts w:ascii="Times New Roman" w:eastAsia="Calibri" w:hAnsi="Times New Roman" w:cs="Times New Roman" w:hint="default"/>
      <w:b/>
      <w:bCs/>
      <w:color w:val="000000"/>
      <w:spacing w:val="20"/>
      <w:sz w:val="20"/>
      <w:szCs w:val="20"/>
      <w:lang w:val="x-none" w:eastAsia="x-none"/>
    </w:rPr>
  </w:style>
  <w:style w:type="character" w:customStyle="1" w:styleId="CommentSubjectChar1">
    <w:name w:val="Comment Subject Char1"/>
    <w:uiPriority w:val="99"/>
    <w:semiHidden/>
    <w:rsid w:val="002C3C7B"/>
    <w:rPr>
      <w:rFonts w:ascii="Times New Roman" w:hAnsi="Times New Roman" w:cs="Times New Roman" w:hint="default"/>
      <w:b/>
      <w:bCs/>
      <w:color w:val="000000"/>
      <w:spacing w:val="20"/>
      <w:lang w:val="x-none" w:eastAsia="x-none"/>
    </w:rPr>
  </w:style>
  <w:style w:type="table" w:styleId="afd">
    <w:name w:val="Table Grid"/>
    <w:basedOn w:val="a1"/>
    <w:uiPriority w:val="59"/>
    <w:rsid w:val="002C3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888\Downloads\11.%20Yeghegis%20-%20&#1333;&#1394;&#1381;&#1379;&#1387;&#1405;%202019%20&#1343;&#1354;.doc" TargetMode="External"/><Relationship Id="rId18" Type="http://schemas.openxmlformats.org/officeDocument/2006/relationships/hyperlink" Target="file:///C:\Users\888\Downloads\11.%20Yeghegis%20-%20&#1333;&#1394;&#1381;&#1379;&#1387;&#1405;%202019%20&#1343;&#1354;.doc" TargetMode="External"/><Relationship Id="rId26" Type="http://schemas.openxmlformats.org/officeDocument/2006/relationships/hyperlink" Target="file:///C:\Users\888\Downloads\11.%20Yeghegis%20-%20&#1333;&#1394;&#1381;&#1379;&#1387;&#1405;%202019%20&#1343;&#1354;.doc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888\Downloads\11.%20Yeghegis%20-%20&#1333;&#1394;&#1381;&#1379;&#1387;&#1405;%202019%20&#1343;&#1354;.doc" TargetMode="External"/><Relationship Id="rId7" Type="http://schemas.openxmlformats.org/officeDocument/2006/relationships/image" Target="media/image2.png"/><Relationship Id="rId12" Type="http://schemas.openxmlformats.org/officeDocument/2006/relationships/hyperlink" Target="file:///C:\Users\888\Downloads\11.%20Yeghegis%20-%20&#1333;&#1394;&#1381;&#1379;&#1387;&#1405;%202019%20&#1343;&#1354;.doc" TargetMode="External"/><Relationship Id="rId17" Type="http://schemas.openxmlformats.org/officeDocument/2006/relationships/hyperlink" Target="file:///C:\Users\888\Downloads\11.%20Yeghegis%20-%20&#1333;&#1394;&#1381;&#1379;&#1387;&#1405;%202019%20&#1343;&#1354;.doc" TargetMode="External"/><Relationship Id="rId25" Type="http://schemas.openxmlformats.org/officeDocument/2006/relationships/hyperlink" Target="file:///C:\Users\888\Downloads\11.%20Yeghegis%20-%20&#1333;&#1394;&#1381;&#1379;&#1387;&#1405;%202019%20&#1343;&#1354;.doc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888\Downloads\11.%20Yeghegis%20-%20&#1333;&#1394;&#1381;&#1379;&#1387;&#1405;%202019%20&#1343;&#1354;.doc" TargetMode="External"/><Relationship Id="rId20" Type="http://schemas.openxmlformats.org/officeDocument/2006/relationships/hyperlink" Target="file:///C:\Users\888\Downloads\11.%20Yeghegis%20-%20&#1333;&#1394;&#1381;&#1379;&#1387;&#1405;%202019%20&#1343;&#1354;.doc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888\Downloads\11.%20Yeghegis%20-%20&#1333;&#1394;&#1381;&#1379;&#1387;&#1405;%202019%20&#1343;&#1354;.doc" TargetMode="External"/><Relationship Id="rId24" Type="http://schemas.openxmlformats.org/officeDocument/2006/relationships/hyperlink" Target="file:///C:\Users\888\Downloads\11.%20Yeghegis%20-%20&#1333;&#1394;&#1381;&#1379;&#1387;&#1405;%202019%20&#1343;&#1354;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888\Downloads\11.%20Yeghegis%20-%20&#1333;&#1394;&#1381;&#1379;&#1387;&#1405;%202019%20&#1343;&#1354;.doc" TargetMode="External"/><Relationship Id="rId23" Type="http://schemas.openxmlformats.org/officeDocument/2006/relationships/hyperlink" Target="file:///C:\Users\888\Downloads\11.%20Yeghegis%20-%20&#1333;&#1394;&#1381;&#1379;&#1387;&#1405;%202019%20&#1343;&#1354;.doc" TargetMode="External"/><Relationship Id="rId28" Type="http://schemas.openxmlformats.org/officeDocument/2006/relationships/image" Target="media/image4.jpeg"/><Relationship Id="rId10" Type="http://schemas.openxmlformats.org/officeDocument/2006/relationships/hyperlink" Target="file:///C:\Users\888\Downloads\11.%20Yeghegis%20-%20&#1333;&#1394;&#1381;&#1379;&#1387;&#1405;%202019%20&#1343;&#1354;.doc" TargetMode="External"/><Relationship Id="rId19" Type="http://schemas.openxmlformats.org/officeDocument/2006/relationships/hyperlink" Target="file:///C:\Users\888\Downloads\11.%20Yeghegis%20-%20&#1333;&#1394;&#1381;&#1379;&#1387;&#1405;%202019%20&#1343;&#1354;.doc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888\Downloads\11.%20Yeghegis%20-%20&#1333;&#1394;&#1381;&#1379;&#1387;&#1405;%202019%20&#1343;&#1354;.doc" TargetMode="External"/><Relationship Id="rId14" Type="http://schemas.openxmlformats.org/officeDocument/2006/relationships/hyperlink" Target="file:///C:\Users\888\Downloads\11.%20Yeghegis%20-%20&#1333;&#1394;&#1381;&#1379;&#1387;&#1405;%202019%20&#1343;&#1354;.doc" TargetMode="External"/><Relationship Id="rId22" Type="http://schemas.openxmlformats.org/officeDocument/2006/relationships/hyperlink" Target="file:///C:\Users\888\Downloads\11.%20Yeghegis%20-%20&#1333;&#1394;&#1381;&#1379;&#1387;&#1405;%202019%20&#1343;&#1354;.doc" TargetMode="External"/><Relationship Id="rId27" Type="http://schemas.openxmlformats.org/officeDocument/2006/relationships/hyperlink" Target="https://ru.wikipedia.org/wiki/L.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8509</Words>
  <Characters>48506</Characters>
  <Application>Microsoft Office Word</Application>
  <DocSecurity>0</DocSecurity>
  <Lines>404</Lines>
  <Paragraphs>113</Paragraphs>
  <ScaleCrop>false</ScaleCrop>
  <Company>Home</Company>
  <LinksUpToDate>false</LinksUpToDate>
  <CharactersWithSpaces>56902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cp:lastPrinted>2020-02-17T14:39:00Z</cp:lastPrinted>
  <dcterms:created xsi:type="dcterms:W3CDTF">2020-02-14T14:23:00Z</dcterms:created>
  <dcterms:modified xsi:type="dcterms:W3CDTF">2020-02-17T14:39:00Z</dcterms:modified>
</cp:coreProperties>
</file>