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7D1" w:rsidRPr="00F93C9E" w:rsidRDefault="005757D1" w:rsidP="005757D1">
      <w:pPr>
        <w:pBdr>
          <w:bottom w:val="single" w:sz="4" w:space="1" w:color="auto"/>
        </w:pBdr>
        <w:spacing w:line="360" w:lineRule="auto"/>
        <w:rPr>
          <w:rFonts w:ascii="Sylfaen" w:hAnsi="Sylfaen"/>
          <w:b/>
          <w:caps/>
          <w:color w:val="auto"/>
          <w:sz w:val="16"/>
          <w:szCs w:val="16"/>
        </w:rPr>
      </w:pPr>
      <w:r w:rsidRPr="00F93C9E">
        <w:rPr>
          <w:rFonts w:ascii="Sylfaen" w:hAnsi="Sylfaen"/>
          <w:b/>
          <w:caps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46BD19DE" wp14:editId="5F963762">
            <wp:extent cx="1923415" cy="862330"/>
            <wp:effectExtent l="0" t="0" r="635" b="0"/>
            <wp:docPr id="5" name="Рисунок 5" descr="SDC_RGB_hoch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_RGB_hoch_p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C9E">
        <w:rPr>
          <w:rFonts w:ascii="Sylfaen" w:hAnsi="Sylfaen"/>
          <w:b/>
          <w:caps/>
          <w:color w:val="auto"/>
          <w:sz w:val="16"/>
          <w:szCs w:val="16"/>
        </w:rPr>
        <w:t xml:space="preserve">                                 </w:t>
      </w:r>
      <w:r w:rsidRPr="00F93C9E">
        <w:rPr>
          <w:rFonts w:ascii="Sylfaen" w:hAnsi="Sylfaen"/>
          <w:b/>
          <w:caps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20D78D5C" wp14:editId="0856C556">
            <wp:extent cx="2105025" cy="862330"/>
            <wp:effectExtent l="0" t="0" r="9525" b="0"/>
            <wp:docPr id="4" name="Рисунок 4" descr="SDA_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A_N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D1" w:rsidRPr="00F93C9E" w:rsidRDefault="005757D1" w:rsidP="005757D1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5757D1" w:rsidRPr="00F93C9E" w:rsidRDefault="005757D1" w:rsidP="005757D1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5757D1" w:rsidRPr="00F93C9E" w:rsidRDefault="005757D1" w:rsidP="005757D1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5757D1" w:rsidRPr="00F93C9E" w:rsidRDefault="005757D1" w:rsidP="005757D1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5757D1" w:rsidRPr="00F93C9E" w:rsidRDefault="005757D1" w:rsidP="005757D1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  <w:r w:rsidRPr="00F93C9E">
        <w:rPr>
          <w:rFonts w:ascii="Sylfaen" w:hAnsi="Sylfaen" w:cs="Sylfaen"/>
          <w:b/>
          <w:color w:val="auto"/>
          <w:sz w:val="16"/>
          <w:szCs w:val="16"/>
        </w:rPr>
        <w:t xml:space="preserve">ԱՆԱՍՆԱՊԱՀՈՒԹՅԱՆ ԶԱՐԳԱՑՈՒՄ ՀԱՅԱՍՏԱՆԻ </w:t>
      </w:r>
    </w:p>
    <w:p w:rsidR="005757D1" w:rsidRPr="00F93C9E" w:rsidRDefault="005757D1" w:rsidP="005757D1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  <w:r w:rsidRPr="00F93C9E">
        <w:rPr>
          <w:rFonts w:ascii="Sylfaen" w:hAnsi="Sylfaen" w:cs="Sylfaen"/>
          <w:b/>
          <w:color w:val="auto"/>
          <w:sz w:val="16"/>
          <w:szCs w:val="16"/>
        </w:rPr>
        <w:t xml:space="preserve">ՀԱՐԱՎՈՒՄ </w:t>
      </w: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  <w:r w:rsidRPr="00F93C9E">
        <w:rPr>
          <w:rFonts w:ascii="Sylfaen" w:hAnsi="Sylfaen"/>
          <w:b/>
          <w:caps/>
          <w:noProof/>
          <w:sz w:val="16"/>
          <w:szCs w:val="16"/>
          <w:lang w:val="ru-RU" w:eastAsia="ru-RU"/>
        </w:rPr>
        <w:drawing>
          <wp:inline distT="0" distB="0" distL="0" distR="0" wp14:anchorId="03DD2F97" wp14:editId="577761EF">
            <wp:extent cx="5659120" cy="3950970"/>
            <wp:effectExtent l="0" t="0" r="0" b="0"/>
            <wp:docPr id="3" name="Рисунок 3" descr="DSC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0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  <w:r w:rsidRPr="00F93C9E">
        <w:rPr>
          <w:rFonts w:ascii="Sylfaen" w:hAnsi="Sylfaen"/>
          <w:b/>
          <w:caps/>
          <w:color w:val="auto"/>
          <w:sz w:val="16"/>
          <w:szCs w:val="16"/>
        </w:rPr>
        <w:t xml:space="preserve">ԵՂԵԳԻՍ ՀԱՄԱՅՆՔԻ գողթանիկ ԲՆԱԿԱՎԱՅՐԻ ԱՐՈՏԱՎԱՅՐԵՐԻ ԿԱՌԱՎԱՐՄԱՆ ԵՎ ԱՆԱՍՆԱՊԱՀՈՒԹՅԱՆ ԶԱՐԳԱՑՄԱՆ ՊԼԱՆ </w:t>
      </w: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color w:val="auto"/>
          <w:sz w:val="16"/>
          <w:szCs w:val="16"/>
        </w:rPr>
      </w:pP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5757D1" w:rsidRPr="00F93C9E" w:rsidRDefault="005757D1" w:rsidP="005757D1">
      <w:pPr>
        <w:spacing w:line="360" w:lineRule="auto"/>
        <w:rPr>
          <w:rFonts w:ascii="Sylfaen" w:hAnsi="Sylfaen"/>
          <w:b/>
          <w:color w:val="auto"/>
          <w:sz w:val="16"/>
          <w:szCs w:val="16"/>
        </w:rPr>
      </w:pPr>
      <w:r w:rsidRPr="00F93C9E">
        <w:rPr>
          <w:rFonts w:ascii="Sylfaen" w:hAnsi="Sylfaen"/>
          <w:b/>
          <w:color w:val="auto"/>
          <w:sz w:val="16"/>
          <w:szCs w:val="16"/>
        </w:rPr>
        <w:t xml:space="preserve">                                                    2019թ.</w:t>
      </w:r>
    </w:p>
    <w:p w:rsidR="005757D1" w:rsidRPr="00F93C9E" w:rsidRDefault="005757D1" w:rsidP="005757D1">
      <w:pPr>
        <w:spacing w:line="360" w:lineRule="auto"/>
        <w:rPr>
          <w:rFonts w:ascii="Sylfaen" w:hAnsi="Sylfaen"/>
          <w:b/>
          <w:color w:val="auto"/>
          <w:sz w:val="16"/>
          <w:szCs w:val="16"/>
        </w:rPr>
        <w:sectPr w:rsidR="005757D1" w:rsidRPr="00F93C9E">
          <w:pgSz w:w="11907" w:h="16840"/>
          <w:pgMar w:top="1134" w:right="1107" w:bottom="567" w:left="1260" w:header="709" w:footer="843" w:gutter="0"/>
          <w:pgNumType w:start="0" w:chapStyle="1"/>
          <w:cols w:space="720"/>
        </w:sectPr>
      </w:pPr>
    </w:p>
    <w:p w:rsidR="005757D1" w:rsidRPr="00F93C9E" w:rsidRDefault="005757D1" w:rsidP="005757D1">
      <w:pPr>
        <w:jc w:val="center"/>
        <w:rPr>
          <w:b/>
          <w:sz w:val="16"/>
          <w:szCs w:val="16"/>
        </w:rPr>
      </w:pPr>
      <w:r w:rsidRPr="00F93C9E">
        <w:rPr>
          <w:rFonts w:ascii="Sylfaen" w:hAnsi="Sylfaen" w:cs="Sylfaen"/>
          <w:b/>
          <w:sz w:val="16"/>
          <w:szCs w:val="16"/>
        </w:rPr>
        <w:lastRenderedPageBreak/>
        <w:t>Բովանդակություն</w:t>
      </w:r>
    </w:p>
    <w:p w:rsidR="005757D1" w:rsidRPr="00F93C9E" w:rsidRDefault="005757D1" w:rsidP="005757D1">
      <w:pPr>
        <w:spacing w:line="360" w:lineRule="auto"/>
        <w:rPr>
          <w:rFonts w:ascii="Sylfaen" w:hAnsi="Sylfaen"/>
          <w:color w:val="auto"/>
          <w:sz w:val="16"/>
          <w:szCs w:val="16"/>
        </w:rPr>
      </w:pPr>
    </w:p>
    <w:p w:rsidR="005757D1" w:rsidRPr="00F93C9E" w:rsidRDefault="005757D1" w:rsidP="005757D1">
      <w:pPr>
        <w:pStyle w:val="11"/>
        <w:tabs>
          <w:tab w:val="left" w:pos="66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r w:rsidRPr="00F93C9E">
        <w:rPr>
          <w:sz w:val="16"/>
          <w:szCs w:val="16"/>
        </w:rPr>
        <w:fldChar w:fldCharType="begin"/>
      </w:r>
      <w:r w:rsidRPr="00F93C9E">
        <w:rPr>
          <w:sz w:val="16"/>
          <w:szCs w:val="16"/>
        </w:rPr>
        <w:instrText xml:space="preserve"> TOC \o "1-3" \h \z \u </w:instrText>
      </w:r>
      <w:r w:rsidRPr="00F93C9E">
        <w:rPr>
          <w:sz w:val="16"/>
          <w:szCs w:val="16"/>
        </w:rPr>
        <w:fldChar w:fldCharType="separate"/>
      </w:r>
      <w:hyperlink r:id="rId9" w:anchor="_Toc17732964" w:history="1">
        <w:r w:rsidRPr="00F93C9E">
          <w:rPr>
            <w:rStyle w:val="a3"/>
            <w:sz w:val="16"/>
            <w:szCs w:val="16"/>
          </w:rPr>
          <w:t>1.</w:t>
        </w:r>
        <w:r w:rsidRPr="00F93C9E">
          <w:rPr>
            <w:rStyle w:val="a3"/>
            <w:bCs w:val="0"/>
            <w:spacing w:val="0"/>
            <w:sz w:val="16"/>
            <w:szCs w:val="16"/>
          </w:rPr>
          <w:tab/>
        </w:r>
        <w:r w:rsidRPr="00F93C9E">
          <w:rPr>
            <w:rStyle w:val="a3"/>
            <w:sz w:val="16"/>
            <w:szCs w:val="16"/>
          </w:rPr>
          <w:t>Ներածություն</w:t>
        </w:r>
        <w:r w:rsidRPr="00F93C9E">
          <w:rPr>
            <w:rStyle w:val="a3"/>
            <w:webHidden/>
            <w:sz w:val="16"/>
            <w:szCs w:val="16"/>
          </w:rPr>
          <w:tab/>
        </w:r>
        <w:r w:rsidRPr="00F93C9E">
          <w:rPr>
            <w:rStyle w:val="a3"/>
            <w:webHidden/>
            <w:sz w:val="16"/>
            <w:szCs w:val="16"/>
          </w:rPr>
          <w:fldChar w:fldCharType="begin"/>
        </w:r>
        <w:r w:rsidRPr="00F93C9E">
          <w:rPr>
            <w:rStyle w:val="a3"/>
            <w:webHidden/>
            <w:sz w:val="16"/>
            <w:szCs w:val="16"/>
          </w:rPr>
          <w:instrText xml:space="preserve"> PAGEREF _Toc17732964 \h </w:instrText>
        </w:r>
        <w:r w:rsidRPr="00F93C9E">
          <w:rPr>
            <w:rStyle w:val="a3"/>
            <w:webHidden/>
            <w:sz w:val="16"/>
            <w:szCs w:val="16"/>
          </w:rPr>
        </w:r>
        <w:r w:rsidRPr="00F93C9E">
          <w:rPr>
            <w:rStyle w:val="a3"/>
            <w:webHidden/>
            <w:sz w:val="16"/>
            <w:szCs w:val="16"/>
          </w:rPr>
          <w:fldChar w:fldCharType="separate"/>
        </w:r>
        <w:r w:rsidR="00F93C9E">
          <w:rPr>
            <w:rStyle w:val="a3"/>
            <w:webHidden/>
            <w:sz w:val="16"/>
            <w:szCs w:val="16"/>
          </w:rPr>
          <w:t>2</w:t>
        </w:r>
        <w:r w:rsidRPr="00F93C9E">
          <w:rPr>
            <w:rStyle w:val="a3"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0" w:anchor="_Toc17732965" w:history="1">
        <w:r w:rsidR="005757D1" w:rsidRPr="00F93C9E">
          <w:rPr>
            <w:rStyle w:val="a3"/>
            <w:sz w:val="16"/>
            <w:szCs w:val="16"/>
          </w:rPr>
          <w:t>2. Գողթանիկ բնակավայրի գյուղատնտեսական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նշանակության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հողերի կառուցվածքը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և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սեփականության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ձևերը</w:t>
        </w:r>
        <w:r w:rsidR="005757D1" w:rsidRPr="00F93C9E">
          <w:rPr>
            <w:rStyle w:val="a3"/>
            <w:webHidden/>
            <w:sz w:val="16"/>
            <w:szCs w:val="16"/>
          </w:rPr>
          <w:tab/>
        </w:r>
        <w:r w:rsidR="005757D1" w:rsidRPr="00F93C9E">
          <w:rPr>
            <w:rStyle w:val="a3"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webHidden/>
            <w:sz w:val="16"/>
            <w:szCs w:val="16"/>
          </w:rPr>
          <w:instrText xml:space="preserve"> PAGEREF _Toc17732965 \h </w:instrText>
        </w:r>
        <w:r w:rsidR="005757D1" w:rsidRPr="00F93C9E">
          <w:rPr>
            <w:rStyle w:val="a3"/>
            <w:webHidden/>
            <w:sz w:val="16"/>
            <w:szCs w:val="16"/>
          </w:rPr>
        </w:r>
        <w:r w:rsidR="005757D1" w:rsidRPr="00F93C9E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2</w:t>
        </w:r>
        <w:r w:rsidR="005757D1" w:rsidRPr="00F93C9E">
          <w:rPr>
            <w:rStyle w:val="a3"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1" w:anchor="_Toc17732966" w:history="1">
        <w:r w:rsidR="005757D1" w:rsidRPr="00F93C9E">
          <w:rPr>
            <w:rStyle w:val="a3"/>
            <w:sz w:val="16"/>
            <w:szCs w:val="16"/>
          </w:rPr>
          <w:t>3. Բնակավայրի անասնագլխաքանակն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ըստ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տնտեսությունների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և անասնակերի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պահանջը</w:t>
        </w:r>
        <w:r w:rsidR="005757D1" w:rsidRPr="00F93C9E">
          <w:rPr>
            <w:rStyle w:val="a3"/>
            <w:webHidden/>
            <w:sz w:val="16"/>
            <w:szCs w:val="16"/>
          </w:rPr>
          <w:tab/>
        </w:r>
        <w:r w:rsidR="005757D1" w:rsidRPr="00F93C9E">
          <w:rPr>
            <w:rStyle w:val="a3"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webHidden/>
            <w:sz w:val="16"/>
            <w:szCs w:val="16"/>
          </w:rPr>
          <w:instrText xml:space="preserve"> PAGEREF _Toc17732966 \h </w:instrText>
        </w:r>
        <w:r w:rsidR="005757D1" w:rsidRPr="00F93C9E">
          <w:rPr>
            <w:rStyle w:val="a3"/>
            <w:webHidden/>
            <w:sz w:val="16"/>
            <w:szCs w:val="16"/>
          </w:rPr>
        </w:r>
        <w:r w:rsidR="005757D1" w:rsidRPr="00F93C9E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3</w:t>
        </w:r>
        <w:r w:rsidR="005757D1" w:rsidRPr="00F93C9E">
          <w:rPr>
            <w:rStyle w:val="a3"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2" w:anchor="_Toc17732967" w:history="1">
        <w:r w:rsidR="005757D1" w:rsidRPr="00F93C9E">
          <w:rPr>
            <w:rStyle w:val="a3"/>
            <w:sz w:val="16"/>
            <w:szCs w:val="16"/>
          </w:rPr>
          <w:t>3.1 Անասնակերի պահանջի հաշվարկ</w:t>
        </w:r>
        <w:r w:rsidR="005757D1" w:rsidRPr="00F93C9E">
          <w:rPr>
            <w:rStyle w:val="a3"/>
            <w:webHidden/>
            <w:sz w:val="16"/>
            <w:szCs w:val="16"/>
          </w:rPr>
          <w:tab/>
        </w:r>
        <w:r w:rsidR="005757D1" w:rsidRPr="00F93C9E">
          <w:rPr>
            <w:rStyle w:val="a3"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webHidden/>
            <w:sz w:val="16"/>
            <w:szCs w:val="16"/>
          </w:rPr>
          <w:instrText xml:space="preserve"> PAGEREF _Toc17732967 \h </w:instrText>
        </w:r>
        <w:r w:rsidR="005757D1" w:rsidRPr="00F93C9E">
          <w:rPr>
            <w:rStyle w:val="a3"/>
            <w:webHidden/>
            <w:sz w:val="16"/>
            <w:szCs w:val="16"/>
          </w:rPr>
        </w:r>
        <w:r w:rsidR="005757D1" w:rsidRPr="00F93C9E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4</w:t>
        </w:r>
        <w:r w:rsidR="005757D1" w:rsidRPr="00F93C9E">
          <w:rPr>
            <w:rStyle w:val="a3"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3" w:anchor="_Toc17732968" w:history="1">
        <w:r w:rsidR="005757D1" w:rsidRPr="00F93C9E">
          <w:rPr>
            <w:rStyle w:val="a3"/>
            <w:sz w:val="16"/>
            <w:szCs w:val="16"/>
          </w:rPr>
          <w:t>4. Բնակավայրի ֆիզիկաաշխարհագրական առանձնահատկությունները</w:t>
        </w:r>
        <w:r w:rsidR="005757D1" w:rsidRPr="00F93C9E">
          <w:rPr>
            <w:rStyle w:val="a3"/>
            <w:webHidden/>
            <w:sz w:val="16"/>
            <w:szCs w:val="16"/>
          </w:rPr>
          <w:tab/>
        </w:r>
        <w:r w:rsidR="005757D1" w:rsidRPr="00F93C9E">
          <w:rPr>
            <w:rStyle w:val="a3"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webHidden/>
            <w:sz w:val="16"/>
            <w:szCs w:val="16"/>
          </w:rPr>
          <w:instrText xml:space="preserve"> PAGEREF _Toc17732968 \h </w:instrText>
        </w:r>
        <w:r w:rsidR="005757D1" w:rsidRPr="00F93C9E">
          <w:rPr>
            <w:rStyle w:val="a3"/>
            <w:webHidden/>
            <w:sz w:val="16"/>
            <w:szCs w:val="16"/>
          </w:rPr>
        </w:r>
        <w:r w:rsidR="005757D1" w:rsidRPr="00F93C9E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5</w:t>
        </w:r>
        <w:r w:rsidR="005757D1" w:rsidRPr="00F93C9E">
          <w:rPr>
            <w:rStyle w:val="a3"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14" w:anchor="_Toc17732969" w:history="1"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4.1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Արոտատեղամասերի էկոլոգիական</w:t>
        </w:r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գնահատում</w: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_Toc17732969 \h </w:instrTex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6</w: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5" w:anchor="_Toc17732970" w:history="1">
        <w:r w:rsidR="005757D1" w:rsidRPr="00F93C9E">
          <w:rPr>
            <w:rStyle w:val="a3"/>
            <w:sz w:val="16"/>
            <w:szCs w:val="16"/>
          </w:rPr>
          <w:t>5. Ընթացիկ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կառավարում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ըստ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գոտու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արոտատեղամասերի</w:t>
        </w:r>
        <w:r w:rsidR="005757D1" w:rsidRPr="00F93C9E">
          <w:rPr>
            <w:rStyle w:val="a3"/>
            <w:webHidden/>
            <w:sz w:val="16"/>
            <w:szCs w:val="16"/>
          </w:rPr>
          <w:tab/>
        </w:r>
        <w:r w:rsidR="005757D1" w:rsidRPr="00F93C9E">
          <w:rPr>
            <w:rStyle w:val="a3"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webHidden/>
            <w:sz w:val="16"/>
            <w:szCs w:val="16"/>
          </w:rPr>
          <w:instrText xml:space="preserve"> PAGEREF _Toc17732970 \h </w:instrText>
        </w:r>
        <w:r w:rsidR="005757D1" w:rsidRPr="00F93C9E">
          <w:rPr>
            <w:rStyle w:val="a3"/>
            <w:webHidden/>
            <w:sz w:val="16"/>
            <w:szCs w:val="16"/>
          </w:rPr>
        </w:r>
        <w:r w:rsidR="005757D1" w:rsidRPr="00F93C9E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8</w:t>
        </w:r>
        <w:r w:rsidR="005757D1" w:rsidRPr="00F93C9E">
          <w:rPr>
            <w:rStyle w:val="a3"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16" w:anchor="_Toc17732971" w:history="1"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5.1.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Բնակավայրի</w:t>
        </w:r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արոտների</w:t>
        </w:r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խոտհարքների</w:t>
        </w:r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բուսածածկն</w:t>
        </w:r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ու</w:t>
        </w:r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բերքատվության</w:t>
        </w:r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ցուցանիշները</w: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_Toc17732971 \h </w:instrTex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9</w: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17" w:anchor="_Toc17732972" w:history="1"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5.2.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Արոտավայրերի</w:t>
        </w:r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կառավարման</w:t>
        </w:r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անասնապահության</w:t>
        </w:r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զարգացման</w:t>
        </w:r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նախադրյալները</w: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_Toc17732972 \h </w:instrTex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11</w: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8" w:anchor="_Toc17732973" w:history="1">
        <w:r w:rsidR="005757D1" w:rsidRPr="00F93C9E">
          <w:rPr>
            <w:rStyle w:val="a3"/>
            <w:sz w:val="16"/>
            <w:szCs w:val="16"/>
          </w:rPr>
          <w:t>6. Չոր կենսազանգվածի կուտակման հնարավորությունն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ըստ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բնակլիմայական գոտիների</w:t>
        </w:r>
        <w:r w:rsidR="005757D1" w:rsidRPr="00F93C9E">
          <w:rPr>
            <w:rStyle w:val="a3"/>
            <w:webHidden/>
            <w:sz w:val="16"/>
            <w:szCs w:val="16"/>
          </w:rPr>
          <w:tab/>
        </w:r>
        <w:r w:rsidR="005757D1" w:rsidRPr="00F93C9E">
          <w:rPr>
            <w:rStyle w:val="a3"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webHidden/>
            <w:sz w:val="16"/>
            <w:szCs w:val="16"/>
          </w:rPr>
          <w:instrText xml:space="preserve"> PAGEREF _Toc17732973 \h </w:instrText>
        </w:r>
        <w:r w:rsidR="005757D1" w:rsidRPr="00F93C9E">
          <w:rPr>
            <w:rStyle w:val="a3"/>
            <w:webHidden/>
            <w:sz w:val="16"/>
            <w:szCs w:val="16"/>
          </w:rPr>
        </w:r>
        <w:r w:rsidR="005757D1" w:rsidRPr="00F93C9E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12</w:t>
        </w:r>
        <w:r w:rsidR="005757D1" w:rsidRPr="00F93C9E">
          <w:rPr>
            <w:rStyle w:val="a3"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19" w:anchor="_Toc17732974" w:history="1"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6.1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Բնակավայրի</w:t>
        </w:r>
        <w:r w:rsidR="005757D1" w:rsidRPr="00F93C9E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կերահանդակներից</w:t>
        </w:r>
        <w:r w:rsidR="005757D1" w:rsidRPr="00F93C9E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5757D1" w:rsidRPr="00F93C9E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այլընտրանքային</w:t>
        </w:r>
        <w:r w:rsidR="005757D1" w:rsidRPr="00F93C9E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կերապահովմանտարածքներից</w:t>
        </w:r>
        <w:r w:rsidR="005757D1" w:rsidRPr="00F93C9E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ստացվող</w:t>
        </w:r>
        <w:r w:rsidR="005757D1" w:rsidRPr="00F93C9E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չոր</w:t>
        </w:r>
        <w:r w:rsidR="005757D1" w:rsidRPr="00F93C9E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զանգվածի</w: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_Toc17732974 \h </w:instrTex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12</w: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20" w:anchor="_Toc17732975" w:history="1"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5757D1" w:rsidRPr="00F93C9E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արածեցման</w:t>
        </w:r>
        <w:r w:rsidR="005757D1" w:rsidRPr="00F93C9E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օրերի</w:t>
        </w:r>
        <w:r w:rsidR="005757D1" w:rsidRPr="00F93C9E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5757D1" w:rsidRPr="00F93C9E">
          <w:rPr>
            <w:rStyle w:val="a3"/>
            <w:rFonts w:ascii="Sylfaen" w:hAnsi="Sylfaen" w:cs="Sylfaen"/>
            <w:noProof/>
            <w:sz w:val="16"/>
            <w:szCs w:val="16"/>
          </w:rPr>
          <w:t>քանակը</w: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_Toc17732975 \h </w:instrTex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12</w:t>
        </w:r>
        <w:r w:rsidR="005757D1" w:rsidRPr="00F93C9E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1" w:anchor="_Toc17732976" w:history="1">
        <w:r w:rsidR="005757D1" w:rsidRPr="00F93C9E">
          <w:rPr>
            <w:rStyle w:val="a3"/>
            <w:sz w:val="16"/>
            <w:szCs w:val="16"/>
          </w:rPr>
          <w:t>7. Խոշոր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և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մանր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եղջերավոր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կենդանիների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արածեցման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համակարգ</w:t>
        </w:r>
        <w:r w:rsidR="005757D1" w:rsidRPr="00F93C9E">
          <w:rPr>
            <w:rStyle w:val="a3"/>
            <w:webHidden/>
            <w:sz w:val="16"/>
            <w:szCs w:val="16"/>
          </w:rPr>
          <w:tab/>
        </w:r>
        <w:r w:rsidR="005757D1" w:rsidRPr="00F93C9E">
          <w:rPr>
            <w:rStyle w:val="a3"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webHidden/>
            <w:sz w:val="16"/>
            <w:szCs w:val="16"/>
          </w:rPr>
          <w:instrText xml:space="preserve"> PAGEREF _Toc17732976 \h </w:instrText>
        </w:r>
        <w:r w:rsidR="005757D1" w:rsidRPr="00F93C9E">
          <w:rPr>
            <w:rStyle w:val="a3"/>
            <w:webHidden/>
            <w:sz w:val="16"/>
            <w:szCs w:val="16"/>
          </w:rPr>
        </w:r>
        <w:r w:rsidR="005757D1" w:rsidRPr="00F93C9E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14</w:t>
        </w:r>
        <w:r w:rsidR="005757D1" w:rsidRPr="00F93C9E">
          <w:rPr>
            <w:rStyle w:val="a3"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2" w:anchor="_Toc17732977" w:history="1">
        <w:r w:rsidR="005757D1" w:rsidRPr="00F93C9E">
          <w:rPr>
            <w:rStyle w:val="a3"/>
            <w:sz w:val="16"/>
            <w:szCs w:val="16"/>
          </w:rPr>
          <w:t>8. Մսուրային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շրջանում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կուտակվող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կերեր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(</w:t>
        </w:r>
        <w:r w:rsidR="005757D1" w:rsidRPr="00F93C9E">
          <w:rPr>
            <w:rStyle w:val="a3"/>
            <w:sz w:val="16"/>
            <w:szCs w:val="16"/>
          </w:rPr>
          <w:t>խոտի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ապահովածությունը</w:t>
        </w:r>
        <w:r w:rsidR="005757D1" w:rsidRPr="00F93C9E">
          <w:rPr>
            <w:rStyle w:val="a3"/>
            <w:rFonts w:cs="Cambria"/>
            <w:sz w:val="16"/>
            <w:szCs w:val="16"/>
          </w:rPr>
          <w:t>)</w:t>
        </w:r>
        <w:r w:rsidR="005757D1" w:rsidRPr="00F93C9E">
          <w:rPr>
            <w:rStyle w:val="a3"/>
            <w:webHidden/>
            <w:sz w:val="16"/>
            <w:szCs w:val="16"/>
          </w:rPr>
          <w:tab/>
        </w:r>
        <w:r w:rsidR="005757D1" w:rsidRPr="00F93C9E">
          <w:rPr>
            <w:rStyle w:val="a3"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webHidden/>
            <w:sz w:val="16"/>
            <w:szCs w:val="16"/>
          </w:rPr>
          <w:instrText xml:space="preserve"> PAGEREF _Toc17732977 \h </w:instrText>
        </w:r>
        <w:r w:rsidR="005757D1" w:rsidRPr="00F93C9E">
          <w:rPr>
            <w:rStyle w:val="a3"/>
            <w:webHidden/>
            <w:sz w:val="16"/>
            <w:szCs w:val="16"/>
          </w:rPr>
        </w:r>
        <w:r w:rsidR="005757D1" w:rsidRPr="00F93C9E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17</w:t>
        </w:r>
        <w:r w:rsidR="005757D1" w:rsidRPr="00F93C9E">
          <w:rPr>
            <w:rStyle w:val="a3"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3" w:anchor="_Toc17732978" w:history="1">
        <w:r w:rsidR="005757D1" w:rsidRPr="00F93C9E">
          <w:rPr>
            <w:rStyle w:val="a3"/>
            <w:sz w:val="16"/>
            <w:szCs w:val="16"/>
          </w:rPr>
          <w:t>9. Գողթանիկ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բնակավայրում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արոտատեղամասերի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բաշխվածության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քարտեզ</w:t>
        </w:r>
        <w:r w:rsidR="005757D1" w:rsidRPr="00F93C9E">
          <w:rPr>
            <w:rStyle w:val="a3"/>
            <w:webHidden/>
            <w:sz w:val="16"/>
            <w:szCs w:val="16"/>
          </w:rPr>
          <w:tab/>
        </w:r>
        <w:r w:rsidR="005757D1" w:rsidRPr="00F93C9E">
          <w:rPr>
            <w:rStyle w:val="a3"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webHidden/>
            <w:sz w:val="16"/>
            <w:szCs w:val="16"/>
          </w:rPr>
          <w:instrText xml:space="preserve"> PAGEREF _Toc17732978 \h </w:instrText>
        </w:r>
        <w:r w:rsidR="005757D1" w:rsidRPr="00F93C9E">
          <w:rPr>
            <w:rStyle w:val="a3"/>
            <w:webHidden/>
            <w:sz w:val="16"/>
            <w:szCs w:val="16"/>
          </w:rPr>
        </w:r>
        <w:r w:rsidR="005757D1" w:rsidRPr="00F93C9E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19</w:t>
        </w:r>
        <w:r w:rsidR="005757D1" w:rsidRPr="00F93C9E">
          <w:rPr>
            <w:rStyle w:val="a3"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4" w:anchor="_Toc17732979" w:history="1">
        <w:r w:rsidR="005757D1" w:rsidRPr="00F93C9E">
          <w:rPr>
            <w:rStyle w:val="a3"/>
            <w:sz w:val="16"/>
            <w:szCs w:val="16"/>
          </w:rPr>
          <w:t xml:space="preserve">10. Գողթանիկ 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բնակավայրում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արոտատեղամասերի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բաշխվածության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գոտիականության </w:t>
        </w:r>
        <w:r w:rsidR="005757D1" w:rsidRPr="00F93C9E">
          <w:rPr>
            <w:rStyle w:val="a3"/>
            <w:sz w:val="16"/>
            <w:szCs w:val="16"/>
          </w:rPr>
          <w:t>քարտեզ</w:t>
        </w:r>
        <w:r w:rsidR="005757D1" w:rsidRPr="00F93C9E">
          <w:rPr>
            <w:rStyle w:val="a3"/>
            <w:webHidden/>
            <w:sz w:val="16"/>
            <w:szCs w:val="16"/>
          </w:rPr>
          <w:tab/>
        </w:r>
        <w:r w:rsidR="005757D1" w:rsidRPr="00F93C9E">
          <w:rPr>
            <w:rStyle w:val="a3"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webHidden/>
            <w:sz w:val="16"/>
            <w:szCs w:val="16"/>
          </w:rPr>
          <w:instrText xml:space="preserve"> PAGEREF _Toc17732979 \h </w:instrText>
        </w:r>
        <w:r w:rsidR="005757D1" w:rsidRPr="00F93C9E">
          <w:rPr>
            <w:rStyle w:val="a3"/>
            <w:webHidden/>
            <w:sz w:val="16"/>
            <w:szCs w:val="16"/>
          </w:rPr>
        </w:r>
        <w:r w:rsidR="005757D1" w:rsidRPr="00F93C9E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20</w:t>
        </w:r>
        <w:r w:rsidR="005757D1" w:rsidRPr="00F93C9E">
          <w:rPr>
            <w:rStyle w:val="a3"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5" w:anchor="_Toc17732980" w:history="1">
        <w:r w:rsidR="005757D1" w:rsidRPr="00F93C9E">
          <w:rPr>
            <w:rStyle w:val="a3"/>
            <w:sz w:val="16"/>
            <w:szCs w:val="16"/>
          </w:rPr>
          <w:t xml:space="preserve">10. Գողթանիկ 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բնակավայրում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արոտատեղամասերի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</w:t>
        </w:r>
        <w:r w:rsidR="005757D1" w:rsidRPr="00F93C9E">
          <w:rPr>
            <w:rStyle w:val="a3"/>
            <w:sz w:val="16"/>
            <w:szCs w:val="16"/>
          </w:rPr>
          <w:t>բաշխվածության</w:t>
        </w:r>
        <w:r w:rsidR="005757D1" w:rsidRPr="00F93C9E">
          <w:rPr>
            <w:rStyle w:val="a3"/>
            <w:rFonts w:cs="Cambria"/>
            <w:sz w:val="16"/>
            <w:szCs w:val="16"/>
          </w:rPr>
          <w:t xml:space="preserve"> գոտիականության </w:t>
        </w:r>
        <w:r w:rsidR="005757D1" w:rsidRPr="00F93C9E">
          <w:rPr>
            <w:rStyle w:val="a3"/>
            <w:sz w:val="16"/>
            <w:szCs w:val="16"/>
          </w:rPr>
          <w:t>քարտեզ</w:t>
        </w:r>
        <w:r w:rsidR="005757D1" w:rsidRPr="00F93C9E">
          <w:rPr>
            <w:rStyle w:val="a3"/>
            <w:webHidden/>
            <w:sz w:val="16"/>
            <w:szCs w:val="16"/>
          </w:rPr>
          <w:tab/>
        </w:r>
        <w:r w:rsidR="005757D1" w:rsidRPr="00F93C9E">
          <w:rPr>
            <w:rStyle w:val="a3"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webHidden/>
            <w:sz w:val="16"/>
            <w:szCs w:val="16"/>
          </w:rPr>
          <w:instrText xml:space="preserve"> PAGEREF _Toc17732980 \h </w:instrText>
        </w:r>
        <w:r w:rsidR="005757D1" w:rsidRPr="00F93C9E">
          <w:rPr>
            <w:rStyle w:val="a3"/>
            <w:webHidden/>
            <w:sz w:val="16"/>
            <w:szCs w:val="16"/>
          </w:rPr>
        </w:r>
        <w:r w:rsidR="005757D1" w:rsidRPr="00F93C9E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20</w:t>
        </w:r>
        <w:r w:rsidR="005757D1" w:rsidRPr="00F93C9E">
          <w:rPr>
            <w:rStyle w:val="a3"/>
            <w:webHidden/>
            <w:sz w:val="16"/>
            <w:szCs w:val="16"/>
          </w:rPr>
          <w:fldChar w:fldCharType="end"/>
        </w:r>
      </w:hyperlink>
    </w:p>
    <w:p w:rsidR="005757D1" w:rsidRPr="00F93C9E" w:rsidRDefault="00F93C9E" w:rsidP="005757D1">
      <w:pPr>
        <w:pStyle w:val="11"/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hyperlink r:id="rId26" w:anchor="_Toc17732981" w:history="1">
        <w:r w:rsidR="005757D1" w:rsidRPr="00F93C9E">
          <w:rPr>
            <w:rStyle w:val="a3"/>
            <w:sz w:val="16"/>
            <w:szCs w:val="16"/>
            <w:lang w:val="fr-FR"/>
          </w:rPr>
          <w:t xml:space="preserve">11. </w:t>
        </w:r>
        <w:r w:rsidR="005757D1" w:rsidRPr="00F93C9E">
          <w:rPr>
            <w:rStyle w:val="a3"/>
            <w:sz w:val="16"/>
            <w:szCs w:val="16"/>
          </w:rPr>
          <w:t>Գողթանիկ</w:t>
        </w:r>
        <w:r w:rsidR="005757D1" w:rsidRPr="00F93C9E">
          <w:rPr>
            <w:rStyle w:val="a3"/>
            <w:sz w:val="16"/>
            <w:szCs w:val="16"/>
            <w:lang w:val="fr-FR"/>
          </w:rPr>
          <w:t xml:space="preserve"> բնակավայրում</w:t>
        </w:r>
        <w:r w:rsidR="005757D1" w:rsidRPr="00F93C9E">
          <w:rPr>
            <w:rStyle w:val="a3"/>
            <w:rFonts w:cs="Cambria"/>
            <w:sz w:val="16"/>
            <w:szCs w:val="16"/>
            <w:lang w:val="fr-FR"/>
          </w:rPr>
          <w:t xml:space="preserve"> </w:t>
        </w:r>
        <w:r w:rsidR="005757D1" w:rsidRPr="00F93C9E">
          <w:rPr>
            <w:rStyle w:val="a3"/>
            <w:sz w:val="16"/>
            <w:szCs w:val="16"/>
            <w:lang w:val="fr-FR"/>
          </w:rPr>
          <w:t>արոտատեղամասերի</w:t>
        </w:r>
        <w:r w:rsidR="005757D1" w:rsidRPr="00F93C9E">
          <w:rPr>
            <w:rStyle w:val="a3"/>
            <w:rFonts w:cs="Cambria"/>
            <w:sz w:val="16"/>
            <w:szCs w:val="16"/>
            <w:lang w:val="fr-FR"/>
          </w:rPr>
          <w:t xml:space="preserve"> </w:t>
        </w:r>
        <w:r w:rsidR="005757D1" w:rsidRPr="00F93C9E">
          <w:rPr>
            <w:rStyle w:val="a3"/>
            <w:sz w:val="16"/>
            <w:szCs w:val="16"/>
            <w:lang w:val="fr-FR"/>
          </w:rPr>
          <w:t>արածեցման գրաֆիկ</w:t>
        </w:r>
        <w:r w:rsidR="005757D1" w:rsidRPr="00F93C9E">
          <w:rPr>
            <w:rStyle w:val="a3"/>
            <w:webHidden/>
            <w:sz w:val="16"/>
            <w:szCs w:val="16"/>
          </w:rPr>
          <w:tab/>
        </w:r>
        <w:r w:rsidR="005757D1" w:rsidRPr="00F93C9E">
          <w:rPr>
            <w:rStyle w:val="a3"/>
            <w:webHidden/>
            <w:sz w:val="16"/>
            <w:szCs w:val="16"/>
          </w:rPr>
          <w:fldChar w:fldCharType="begin"/>
        </w:r>
        <w:r w:rsidR="005757D1" w:rsidRPr="00F93C9E">
          <w:rPr>
            <w:rStyle w:val="a3"/>
            <w:webHidden/>
            <w:sz w:val="16"/>
            <w:szCs w:val="16"/>
          </w:rPr>
          <w:instrText xml:space="preserve"> PAGEREF _Toc17732981 \h </w:instrText>
        </w:r>
        <w:r w:rsidR="005757D1" w:rsidRPr="00F93C9E">
          <w:rPr>
            <w:rStyle w:val="a3"/>
            <w:webHidden/>
            <w:sz w:val="16"/>
            <w:szCs w:val="16"/>
          </w:rPr>
        </w:r>
        <w:r w:rsidR="005757D1" w:rsidRPr="00F93C9E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21</w:t>
        </w:r>
        <w:r w:rsidR="005757D1" w:rsidRPr="00F93C9E">
          <w:rPr>
            <w:rStyle w:val="a3"/>
            <w:webHidden/>
            <w:sz w:val="16"/>
            <w:szCs w:val="16"/>
          </w:rPr>
          <w:fldChar w:fldCharType="end"/>
        </w:r>
      </w:hyperlink>
    </w:p>
    <w:p w:rsidR="005757D1" w:rsidRPr="00F93C9E" w:rsidRDefault="005757D1" w:rsidP="005757D1">
      <w:pPr>
        <w:spacing w:line="360" w:lineRule="auto"/>
        <w:rPr>
          <w:rFonts w:ascii="Sylfaen" w:hAnsi="Sylfaen"/>
          <w:color w:val="auto"/>
          <w:sz w:val="16"/>
          <w:szCs w:val="16"/>
        </w:rPr>
      </w:pPr>
      <w:r w:rsidRPr="00F93C9E">
        <w:rPr>
          <w:rFonts w:ascii="Sylfaen" w:hAnsi="Sylfaen"/>
          <w:color w:val="auto"/>
          <w:sz w:val="16"/>
          <w:szCs w:val="16"/>
        </w:rPr>
        <w:fldChar w:fldCharType="end"/>
      </w:r>
    </w:p>
    <w:p w:rsidR="005757D1" w:rsidRPr="00F93C9E" w:rsidRDefault="005757D1" w:rsidP="005757D1">
      <w:pPr>
        <w:spacing w:line="360" w:lineRule="auto"/>
        <w:rPr>
          <w:rFonts w:ascii="Sylfaen" w:hAnsi="Sylfaen"/>
          <w:color w:val="auto"/>
          <w:sz w:val="16"/>
          <w:szCs w:val="16"/>
        </w:rPr>
        <w:sectPr w:rsidR="005757D1" w:rsidRPr="00F93C9E">
          <w:pgSz w:w="11907" w:h="16840"/>
          <w:pgMar w:top="1134" w:right="1107" w:bottom="567" w:left="1260" w:header="709" w:footer="843" w:gutter="0"/>
          <w:pgNumType w:start="1" w:chapStyle="1"/>
          <w:cols w:space="720"/>
        </w:sectPr>
      </w:pPr>
    </w:p>
    <w:p w:rsidR="005757D1" w:rsidRPr="00F93C9E" w:rsidRDefault="005757D1" w:rsidP="005757D1">
      <w:pPr>
        <w:pStyle w:val="1"/>
        <w:numPr>
          <w:ilvl w:val="0"/>
          <w:numId w:val="2"/>
        </w:numPr>
        <w:spacing w:before="0" w:after="0" w:line="276" w:lineRule="auto"/>
        <w:ind w:left="0" w:firstLine="0"/>
        <w:jc w:val="center"/>
        <w:rPr>
          <w:rFonts w:ascii="Sylfaen" w:hAnsi="Sylfaen"/>
          <w:sz w:val="16"/>
          <w:szCs w:val="16"/>
        </w:rPr>
      </w:pPr>
      <w:bookmarkStart w:id="0" w:name="_Toc17732964"/>
      <w:bookmarkStart w:id="1" w:name="_Toc524700596"/>
      <w:r w:rsidRPr="00F93C9E">
        <w:rPr>
          <w:rFonts w:ascii="Sylfaen" w:hAnsi="Sylfaen" w:cs="Sylfaen"/>
          <w:sz w:val="16"/>
          <w:szCs w:val="16"/>
        </w:rPr>
        <w:lastRenderedPageBreak/>
        <w:t>Ներածություն</w:t>
      </w:r>
      <w:bookmarkEnd w:id="0"/>
      <w:bookmarkEnd w:id="1"/>
    </w:p>
    <w:p w:rsidR="005757D1" w:rsidRPr="00F93C9E" w:rsidRDefault="005757D1" w:rsidP="005757D1">
      <w:pPr>
        <w:spacing w:line="276" w:lineRule="auto"/>
        <w:jc w:val="both"/>
        <w:rPr>
          <w:rFonts w:ascii="Sylfaen" w:hAnsi="Sylfaen"/>
          <w:b/>
          <w:color w:val="FF000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 w:cs="Sylfaen"/>
          <w:color w:val="auto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Գողթանիկ բնակավայրը ունի 41 բնակիչ և 125 տնային տնտեսություն: Բնակավայրը գտնվում է ՀՀ Վայոց Ձոր մարզի Եղեգնաձորի տարածաշրջանի Եղեգիս համայնքում: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հիմնական զբաղվածությունը անասնապահությունն ու դաշտավարությունն են: Դաշտավարության ոլորտում հիմնականում մշակվում է հացահատիկ, բազմամյա խոտ և կարտոֆիլ: Անասնապահության ոլորտում տնտեսություն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ները առավելապես մասնագիտացված են կաթնային և կաթնամսային տավարաբուծությամբ, որոշ տնտեսություններ` զբաղված են նաև ոչխարաբուծությամբ: Համաձայն բնակավայրի վարչական մարմնի տրամադրած տեղեկատվության (</w:t>
      </w:r>
      <w:r w:rsidRPr="00F93C9E">
        <w:rPr>
          <w:rFonts w:ascii="Sylfaen" w:hAnsi="Sylfaen" w:cs="Sylfaen"/>
          <w:bCs w:val="0"/>
          <w:color w:val="auto"/>
          <w:spacing w:val="0"/>
          <w:sz w:val="16"/>
          <w:szCs w:val="16"/>
        </w:rPr>
        <w:t>Տեղեկանք անասնագլխա</w:t>
      </w:r>
      <w:bookmarkStart w:id="2" w:name="_GoBack"/>
      <w:bookmarkEnd w:id="2"/>
      <w:r w:rsidRPr="00F93C9E">
        <w:rPr>
          <w:rFonts w:ascii="Sylfaen" w:hAnsi="Sylfaen" w:cs="Sylfaen"/>
          <w:bCs w:val="0"/>
          <w:color w:val="auto"/>
          <w:spacing w:val="0"/>
          <w:sz w:val="16"/>
          <w:szCs w:val="16"/>
        </w:rPr>
        <w:t>քանակի և սեռահասակային կազմի վերաբերյալ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), առ 15.02.19թ. բնակավայրում հաշվառված է 325 գլուխ տարբեր սեռահասակային խմբերի խոշոր եղջերավոր, 115 գլուխ մանր եղջերավոր (ոչխար, այծեր, ուլեր և գառներ), 3 գլուխ ձիեր և 3 գլուխ ավանակ: Գողթանիկ բնակավայրում 2018 թ. արտադրվել է մոտ 9000 կգ տավարի և 900 կգ ոչխարի միս, (տվյալները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փոփոխությամբ, պայմանավորված իրացված անասնագլխով):</w:t>
      </w:r>
      <w:r w:rsidRPr="00F93C9E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խոշոր եղջերավորի (կովերի) պահվացքով զբաղվող տնտեսություններից 10%-ի (10 տնտեսություն) հետ հարցումներով պարզվել է, որ մեկ կովի տարեկան միջին կաթնատվությունը կազմում է միջինը 1500 լիտր, համաձայն այս ցուցանիշի, համայնքում արտադրվել է շուրջ 153000 (102 կով x 1500 լիտր) լիտր կաթ:</w:t>
      </w:r>
      <w:r w:rsidRPr="00F93C9E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 անասնաբուծական արտադրանքի որոշ մասը սպառվում է բնակավայրում, իսկ մեծ մասը մթերվում է տարածաշրջանում գործող վերամշակող կազմակերպությունների կողմից:</w:t>
      </w:r>
      <w:r w:rsidRPr="00F93C9E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անասնապահական մթերքների արտադրու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թյան արտադրական ներուժը ներկայում ցածր է: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խնդիրները, բարձրացնելով կովերի միջին կաթ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նատ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վությունը` մինչև 15-20%-ով, իսկ արտադրվող մսի քանակությունը շուրջ 12-15%-ով: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Վերջին տարիների ընթացքում ՀՀ-ում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խնդիրներին, այդ թվում նաև անասնապահության ոլորտի զարգացմանը, որի վկայությունն է ՌԶԳ ՀԿ-ի կողմից իրականացվող «Անասնապահության զարգացում Հայաստանի հարավում» ծրագրի սահմաններում բնական կերահանդակների կայուն կառավարման ու բարելավմանն ուղղված ծրագրային աշխատանքները: Իրականացվող ծրագրի շրջանակում մշակված և առաջարկվող արոտների կայուն կառավարման համակարգի ներդնումն անհրաժեշտ ենթակառուցվածքների ստեղծումով, նպաստելու է արոտային տարածքների արդյունավետ օգտագործմանը, դեգրադացման և հողի էրոզացման ռիսկերի կրճատմանը, վատթարացած արոտավայրերի բուսածածկի վերականգնմանը, նպաստելով արոտային շրջանի կերապահովման խնդրի լուծմամբ անասնաբուծության ոլորտի զարգացման, և անասնապահական մթերքների արտադրության ծավալների ավելացմամբ ֆերմերային տնտեսությունների եկամուտների բարձրացմանը:</w:t>
      </w:r>
    </w:p>
    <w:p w:rsidR="005757D1" w:rsidRPr="00F93C9E" w:rsidRDefault="005757D1" w:rsidP="005757D1">
      <w:pPr>
        <w:pStyle w:val="1"/>
        <w:spacing w:before="0" w:after="0" w:line="360" w:lineRule="auto"/>
        <w:ind w:firstLine="567"/>
        <w:rPr>
          <w:rFonts w:ascii="Sylfaen" w:hAnsi="Sylfaen" w:cs="Sylfaen"/>
          <w:color w:val="FF0000"/>
          <w:sz w:val="16"/>
          <w:szCs w:val="16"/>
        </w:rPr>
      </w:pPr>
      <w:bookmarkStart w:id="3" w:name="_Toc402354605"/>
    </w:p>
    <w:p w:rsidR="005757D1" w:rsidRPr="00F93C9E" w:rsidRDefault="005757D1" w:rsidP="005757D1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4" w:name="_Toc17732965"/>
      <w:bookmarkStart w:id="5" w:name="_Toc524700597"/>
      <w:r w:rsidRPr="00F93C9E">
        <w:rPr>
          <w:rFonts w:ascii="Sylfaen" w:hAnsi="Sylfaen"/>
          <w:sz w:val="16"/>
          <w:szCs w:val="16"/>
        </w:rPr>
        <w:t xml:space="preserve">2. </w:t>
      </w:r>
      <w:r w:rsidRPr="00F93C9E">
        <w:rPr>
          <w:rFonts w:ascii="Sylfaen" w:hAnsi="Sylfaen" w:cs="Sylfaen"/>
          <w:sz w:val="16"/>
          <w:szCs w:val="16"/>
        </w:rPr>
        <w:t>Գողթանիկ բնակավայրի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գյուղատնտեսական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նշանակության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հողերի կառուցվածքը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և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սեփականության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ձևերը</w:t>
      </w:r>
      <w:bookmarkEnd w:id="3"/>
      <w:bookmarkEnd w:id="4"/>
      <w:bookmarkEnd w:id="5"/>
    </w:p>
    <w:p w:rsidR="005757D1" w:rsidRPr="00F93C9E" w:rsidRDefault="005757D1" w:rsidP="005757D1">
      <w:pPr>
        <w:spacing w:line="360" w:lineRule="auto"/>
        <w:rPr>
          <w:rFonts w:ascii="Sylfaen" w:hAnsi="Sylfaen"/>
          <w:color w:val="FF000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Գողթանիկ բնակավայրի հողային ֆոնդի առկայության և բաշխման մասին հաշվետվության (ձև 22), բնակավայրի վարչական տարածքը զբաղեցնում է շուրջ 4989.57 հա, որտեղ ըստ նպատակային նշանակության գյուղատնտեսական հողատեսքերը, ներառյալ տնամերձ հողերը, կազմում են </w:t>
      </w:r>
      <w:r w:rsidRPr="00F93C9E">
        <w:rPr>
          <w:rFonts w:ascii="Sylfaen" w:hAnsi="Sylfaen"/>
          <w:color w:val="auto"/>
          <w:sz w:val="16"/>
          <w:szCs w:val="16"/>
        </w:rPr>
        <w:t>4759.89+37.05=4796.94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 (աղյուսակ 1): Գյուղատնտեսական նշանակության հողատեսքերի միայն 51.86%-ն հանդիսանում է պետական սեփականություն, իսկ 48.14 %-ը համայնքային և համայնքի բնակիչների մասնավոր սեփականությունն է: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գործառնական նշանակության գյուղատնտեսական հողատեսքերի 56.6%-ը կազմում են բնական արոտները, որի շուրջ 84.2%-ը պետական սեփականություն է: </w:t>
      </w:r>
    </w:p>
    <w:p w:rsidR="005757D1" w:rsidRPr="00F93C9E" w:rsidRDefault="005757D1" w:rsidP="005757D1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Աղյուսակ 1 </w:t>
      </w: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Հողերի սեփականության կառուցվածքը Գողթանիկ բնակավայրում</w:t>
      </w:r>
    </w:p>
    <w:tbl>
      <w:tblPr>
        <w:tblW w:w="9147" w:type="dxa"/>
        <w:jc w:val="center"/>
        <w:tblInd w:w="1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1088"/>
        <w:gridCol w:w="1140"/>
        <w:gridCol w:w="1683"/>
        <w:gridCol w:w="1604"/>
        <w:gridCol w:w="1357"/>
      </w:tblGrid>
      <w:tr w:rsidR="005757D1" w:rsidRPr="00F93C9E" w:rsidTr="005757D1">
        <w:trPr>
          <w:trHeight w:val="64"/>
          <w:jc w:val="center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Գյուղատնտեսական հողատեսքեր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 (հա)</w:t>
            </w:r>
          </w:p>
        </w:tc>
        <w:tc>
          <w:tcPr>
            <w:tcW w:w="5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Բաշխումը ըստ սեփականության ձևի</w:t>
            </w:r>
          </w:p>
        </w:tc>
      </w:tr>
      <w:tr w:rsidR="005757D1" w:rsidRPr="00F93C9E" w:rsidTr="005757D1">
        <w:trPr>
          <w:trHeight w:val="1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մասնավոր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ՀՀ իրավ. անձանց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համայնքային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պետական</w:t>
            </w:r>
          </w:p>
        </w:tc>
      </w:tr>
      <w:tr w:rsidR="005757D1" w:rsidRPr="00F93C9E" w:rsidTr="005757D1">
        <w:trPr>
          <w:trHeight w:val="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Վարելահողեր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297.39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166.60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130.79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5757D1" w:rsidRPr="00F93C9E" w:rsidTr="005757D1">
        <w:trPr>
          <w:trHeight w:val="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Բազմամյա տնկարք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5757D1" w:rsidRPr="00F93C9E" w:rsidTr="005757D1">
        <w:trPr>
          <w:trHeight w:val="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Խոտհարք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241.09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0.50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240.59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5757D1" w:rsidRPr="00F93C9E" w:rsidTr="005757D1">
        <w:trPr>
          <w:trHeight w:val="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Արոտավայրեր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2693.89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5.01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419.32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2269.56</w:t>
            </w:r>
          </w:p>
        </w:tc>
      </w:tr>
      <w:tr w:rsidR="005757D1" w:rsidRPr="00F93C9E" w:rsidTr="005757D1">
        <w:trPr>
          <w:trHeight w:val="2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որից` գյուղամերձ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419.32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419.32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5757D1" w:rsidRPr="00F93C9E" w:rsidTr="005757D1">
        <w:trPr>
          <w:trHeight w:val="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հեռագնա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2269.56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2269.56</w:t>
            </w:r>
          </w:p>
        </w:tc>
      </w:tr>
      <w:tr w:rsidR="005757D1" w:rsidRPr="00F93C9E" w:rsidTr="005757D1">
        <w:trPr>
          <w:trHeight w:val="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Այլ հողատեսքեր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1527.52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1.72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1.90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1324.67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199.23</w:t>
            </w:r>
          </w:p>
        </w:tc>
      </w:tr>
      <w:tr w:rsidR="005757D1" w:rsidRPr="00F93C9E" w:rsidTr="005757D1">
        <w:trPr>
          <w:trHeight w:val="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4759.89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173.83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1.90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2115.37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2468.79</w:t>
            </w:r>
          </w:p>
        </w:tc>
      </w:tr>
    </w:tbl>
    <w:p w:rsidR="005757D1" w:rsidRPr="00F93C9E" w:rsidRDefault="005757D1" w:rsidP="005757D1">
      <w:pPr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6" w:name="_Toc402354606"/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Այսպիսով, Գողթանիկ բնակավայրում առկա են 2693.89 հա արոտային տարածքներ, իսկ խոշոր և մանր եղջերավոր անասունների քանակը, ինչպես ցույց կտրվի հետագայում (աղյուսակ 11), կազմում է 227 պայմանական գլուխ (ՊԳ), այսինքն 1 ՊԳ-ին համայնքում առկա է շուրջ 11.8 հա արոտային տարածք, ինչը շուրջ վեց անգամ ավելի բարձր ցուցանիշ է համեմատած «Արոտների և խոտհարքների օգտագործման կարգի» վերաբերյալ ՀՀ Կառավարության 2011թ.   №389-ն որոշմամբ նախատեսված նորմատիվը: Բնակավայրում հաշվառված անասնագլխի արոտային կերապահովման համար, անհրաժեշտ պայման է համարվում առկա արոտավայրերի կայուն կառվարման կարգերի գործարկումը: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pStyle w:val="1"/>
        <w:spacing w:before="0" w:after="0"/>
        <w:jc w:val="center"/>
        <w:rPr>
          <w:rFonts w:ascii="Sylfaen" w:hAnsi="Sylfaen" w:cs="Sylfaen"/>
          <w:sz w:val="16"/>
          <w:szCs w:val="16"/>
        </w:rPr>
      </w:pPr>
      <w:bookmarkStart w:id="7" w:name="_Toc17732966"/>
      <w:bookmarkStart w:id="8" w:name="_Toc524700598"/>
      <w:r w:rsidRPr="00F93C9E">
        <w:rPr>
          <w:rFonts w:ascii="Sylfaen" w:hAnsi="Sylfaen"/>
          <w:sz w:val="16"/>
          <w:szCs w:val="16"/>
        </w:rPr>
        <w:t xml:space="preserve">3. </w:t>
      </w:r>
      <w:r w:rsidRPr="00F93C9E">
        <w:rPr>
          <w:rFonts w:ascii="Sylfaen" w:hAnsi="Sylfaen" w:cs="Sylfaen"/>
          <w:sz w:val="16"/>
          <w:szCs w:val="16"/>
        </w:rPr>
        <w:t>Բնակավայրի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անասնագլխաքանակն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ըստ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տնտեսությունների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և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անասնակերի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պահանջը</w:t>
      </w:r>
      <w:bookmarkEnd w:id="6"/>
      <w:bookmarkEnd w:id="7"/>
      <w:bookmarkEnd w:id="8"/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Ինչպես Հայաստանի հանրապետության բոլոր բնակավայրերում, Գողթանիկ բնակավայրում նույնպես հիմնականում բուծվում է խոշոր եղջերավորի (ԽԵԿ) Կովկասյան գորշ ցեղատեսակը, որը դիմացկուն է լեռնային պայմաններում և հավասարապես բուծվում է ինչպես կաթարտադրության, այնպես էլ մսարտադրության ուղղություններով, կան նաև Կովկասյան գորշի խառնածիններ, առանձին դեպքերում Շվիցի հետնորդներ: Կենդանիներն ապահովում են բնակավայրի տնտեսությունների, ինչպես նաև քաղաքային բնակչության մասնակի պահանջարկը կաթնամթերքի և մսամթերքի նկատմամբ: Ըստ համայնքապետարանի տեղեկատվության, բնակավայրում շուրջ 16 տնտեսություններ զբաղված են խոշոր եղջերավոր անասունների (ԽԵԿ) պահվածքով, 10 տնտեսություններ նաև մանր եղջերավոր անասունների (ՄԵԿ), մասնավորապես բալբաս և կիսակոպտաբուրդ ցեղատեսակներին պատկանող ոչխարների պահվածքով, 2 տնտեսություններ զբաղվում են նաև խոզաբուծությամբ: Այսպիսով, բնակավայրում առկա է 325 գլուխ ԽԵԿ և 115 գլուխ ՄԵԿ` ոչխար, այծեր և գառներ, որոնք կերակրվում են բնակավայրի վարչական տարածքում առկա արոտավայրերից և այլընտրանքային կերապահովման տարածքներից ստացվող կանաչ զանգվածով և չոր խոտով: Աղյուսակ 2-ում բերված է բնակավայրում հաշվառված անասնագլխաքանակի բաշխվածությունն ըստ տնային տնտեսությունների, որը ցույց է տալիս, որ տնտեսությունների գերակշիռ մեծամասնությունը ունեն 1-5 գլուխ ԽԵԿ:</w:t>
      </w:r>
      <w:r w:rsidRPr="00F93C9E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5757D1" w:rsidRPr="00F93C9E" w:rsidRDefault="005757D1" w:rsidP="005757D1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Տարբեր տարիներին բնակավայրում հաշվառված անասնագլխի տվյալների ուսումնասիրումով պարզվել է, որ վերջին տարիների ընթացքում որոշ տնային տնտեսութուններում տեղի է ունենում ԽԵԿ-ի և ՄԵԿ-ի գլխաքանակի աստիճանական ավելացում: Բնակավայրում 6-10 գլուխ ԽԵԿ ունեն համապատասխանաբար տնտեսությունների 31.2 %-ը (աղ. 2):</w:t>
      </w:r>
      <w:r w:rsidRPr="00F93C9E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5757D1" w:rsidRPr="00F93C9E" w:rsidRDefault="005757D1" w:rsidP="005757D1">
      <w:pPr>
        <w:spacing w:line="360" w:lineRule="auto"/>
        <w:ind w:firstLine="720"/>
        <w:jc w:val="both"/>
        <w:rPr>
          <w:rFonts w:ascii="Sylfaen" w:hAnsi="Sylfaen"/>
          <w:color w:val="auto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Մեր հարցազրույցներից պարզվել է, որ մսուրային շրջանին անհրաժեշտ որակյալ կերի կայուն բազայի ստեղծման հիմնական խոչընդոտների հաղթահարումից հետո`անմշակ վարելահողերի մշակությամբ դաշտային կերարտադրության զարգացումը, ինչպես նաև արոտային շրջանի կերապահովման համար բնական արոտների կայուն կառավարման կարգի ներդրմամբ և արդյունավետ օգտագործման անհրաժեշտ ենթակառուցվածքների (ջրելատեղ, մակատեղ) ստեղծումով արոտների օգտագործման հնարավորությունների և հասանելիության մեծացումը, էականորեն նպաստելու են բնակավայրում անասնապահության ոլորտի հետագա զարգացման, և անասնապահությամբ զբաղվող տնտեսությունների քանակի ու եկամուտների ավելացմանը:</w:t>
      </w:r>
      <w:r w:rsidRPr="00F93C9E">
        <w:rPr>
          <w:rFonts w:ascii="Sylfaen" w:hAnsi="Sylfaen"/>
          <w:color w:val="auto"/>
          <w:sz w:val="16"/>
          <w:szCs w:val="16"/>
        </w:rPr>
        <w:t xml:space="preserve">                         </w:t>
      </w:r>
    </w:p>
    <w:p w:rsidR="005757D1" w:rsidRPr="00F93C9E" w:rsidRDefault="005757D1" w:rsidP="005757D1">
      <w:pPr>
        <w:spacing w:line="360" w:lineRule="auto"/>
        <w:jc w:val="right"/>
        <w:rPr>
          <w:rFonts w:ascii="Sylfaen" w:hAnsi="Sylfaen"/>
          <w:color w:val="auto"/>
          <w:sz w:val="16"/>
          <w:szCs w:val="16"/>
        </w:rPr>
      </w:pPr>
      <w:r w:rsidRPr="00F93C9E">
        <w:rPr>
          <w:rFonts w:ascii="Sylfaen" w:hAnsi="Sylfaen"/>
          <w:color w:val="auto"/>
          <w:sz w:val="16"/>
          <w:szCs w:val="16"/>
        </w:rPr>
        <w:t xml:space="preserve">                                                                                               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2 </w:t>
      </w: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Անասունների գլխաքանակն ըստ տնային տնտեսությունների</w:t>
      </w:r>
    </w:p>
    <w:tbl>
      <w:tblPr>
        <w:tblW w:w="9210" w:type="dxa"/>
        <w:jc w:val="center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1523"/>
        <w:gridCol w:w="1689"/>
        <w:gridCol w:w="1538"/>
        <w:gridCol w:w="1532"/>
        <w:gridCol w:w="1528"/>
      </w:tblGrid>
      <w:tr w:rsidR="005757D1" w:rsidRPr="00F93C9E" w:rsidTr="005757D1">
        <w:trPr>
          <w:trHeight w:val="1242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bookmarkStart w:id="9" w:name="_Toc402354607"/>
            <w:r w:rsidRPr="00F93C9E">
              <w:rPr>
                <w:rFonts w:ascii="Sylfaen" w:hAnsi="Sylfaen" w:cs="Sylfaen"/>
                <w:color w:val="FF0000"/>
                <w:sz w:val="16"/>
                <w:szCs w:val="16"/>
              </w:rPr>
              <w:lastRenderedPageBreak/>
              <w:t xml:space="preserve"> </w:t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 քանակը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ՄԵԿ քանակը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Խոզերի քանակը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</w:tr>
      <w:tr w:rsidR="005757D1" w:rsidRPr="00F93C9E" w:rsidTr="005757D1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</w:tr>
      <w:tr w:rsidR="005757D1" w:rsidRPr="00F93C9E" w:rsidTr="005757D1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5757D1" w:rsidRPr="00F93C9E" w:rsidTr="005757D1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5757D1" w:rsidRPr="00F93C9E" w:rsidTr="005757D1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 և ավելի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 և ավելի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31և ավելի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5757D1" w:rsidRPr="00F93C9E" w:rsidTr="005757D1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</w:tr>
    </w:tbl>
    <w:p w:rsidR="005757D1" w:rsidRPr="00F93C9E" w:rsidRDefault="005757D1" w:rsidP="005757D1">
      <w:pPr>
        <w:pStyle w:val="1"/>
        <w:spacing w:before="0" w:after="0" w:line="360" w:lineRule="auto"/>
        <w:rPr>
          <w:rFonts w:ascii="Sylfaen" w:hAnsi="Sylfaen" w:cs="Sylfaen"/>
          <w:color w:val="FF0000"/>
          <w:sz w:val="16"/>
          <w:szCs w:val="16"/>
        </w:rPr>
      </w:pPr>
      <w:r w:rsidRPr="00F93C9E">
        <w:rPr>
          <w:rFonts w:ascii="Sylfaen" w:hAnsi="Sylfaen" w:cs="Sylfaen"/>
          <w:color w:val="FF0000"/>
          <w:sz w:val="16"/>
          <w:szCs w:val="16"/>
        </w:rPr>
        <w:t xml:space="preserve">                                 </w:t>
      </w:r>
    </w:p>
    <w:p w:rsidR="005757D1" w:rsidRPr="00F93C9E" w:rsidRDefault="005757D1" w:rsidP="005757D1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10" w:name="_Toc17732967"/>
      <w:bookmarkStart w:id="11" w:name="_Toc524700599"/>
      <w:r w:rsidRPr="00F93C9E">
        <w:rPr>
          <w:rFonts w:ascii="Sylfaen" w:hAnsi="Sylfaen"/>
          <w:sz w:val="16"/>
          <w:szCs w:val="16"/>
        </w:rPr>
        <w:t xml:space="preserve">3.1 </w:t>
      </w:r>
      <w:r w:rsidRPr="00F93C9E">
        <w:rPr>
          <w:rFonts w:ascii="Sylfaen" w:hAnsi="Sylfaen" w:cs="Sylfaen"/>
          <w:sz w:val="16"/>
          <w:szCs w:val="16"/>
        </w:rPr>
        <w:t>Անասնակերի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պահանջի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հաշվարկ</w:t>
      </w:r>
      <w:bookmarkEnd w:id="9"/>
      <w:bookmarkEnd w:id="10"/>
      <w:bookmarkEnd w:id="11"/>
    </w:p>
    <w:p w:rsidR="005757D1" w:rsidRPr="00F93C9E" w:rsidRDefault="005757D1" w:rsidP="005757D1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Համաձայն կերի պահանջի հաշվարկման համար ընդունված անասնաբուծական չափորոշիչների, խոշոր և մանր եղջերավոր անասունները օրական պահանջում են իրենց մարմնի կշռի շուրջ 2.5%-ի չափով չոր բուսազանգված (ՉԶ): Կերի պահանջը հաշվարկվում են հիմնվելով բույսի ՉԶ-ի վրա, որն ապահովում է ճշգրիտ տվյալներ, քանի որ այստեղ վերանում է վեգետացիայի ընթացքում կանաչ զանգվածում տեղի ունեցող խոնավության փոփոխության հետ կապված հնարավոր սխալը զանգված հաշվարկելիս: Հիմնվելով այս մեթոդին հաշվարկվել է բնակավայրում առկա անասնագլխաքանակի կերապահովմանն անհրաժեշտ ՉԶ-ի ընդհանուր քանակությունն ինչպես մեկ օրվա, այնպես էլ ամբողջ արոտային և մսուրային ժամանակահատվածների  համար,  որն ամփոփված է աղյուսակ 3-ում: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Պայմանավորված աշխարհագրական տեղադիրքով և կենսակլիմայական պայմաններով, բնակավայրի պայմաններում, խոշոր եղջերավորի արոտային շրջանը կազմում է շուրջ 195 օր (ապրիլի երրորդ տասնօրյակից  մինչև նոյեմբերի առաջին տասնօրյակը), իսկ մանր եղջերավորի (ոչխարի) արոտային շրջանը կազմում է 270 օր (մարտի երկրորդ տասնօրյակից մինչև դեկտեմբերի առաջին տասնօրյակը, գառների համար`210 օր (մայիսի առաջին տասնօրյակից մինչև դեկտեմբերի առաջին տասնօրյակը): Ինչպես երևում է աղյուսակ  3-ում բերված տվյալներից, բնակավայրում հաշվառված որոճող գյուղատնտեսական կենդանիների ՉԶ-ի ընդհանուր օրական պահանջը կազմում է 2286.8 կգ, որի 93.5 %-ը բաժին է ընկնում խոշոր եղջերավոր կենդանիներին: Արոտային շրջանում առկա անասնագլխի արոտակերի պահանջը կազմում է 447591 կգ, (447.5տ), իսկ մսուրային ժամանակահատվածի համար 388347.6 կգ, (388.3 տ):</w:t>
      </w:r>
    </w:p>
    <w:p w:rsidR="005757D1" w:rsidRPr="00F93C9E" w:rsidRDefault="005757D1" w:rsidP="005757D1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3 </w:t>
      </w:r>
    </w:p>
    <w:p w:rsidR="005757D1" w:rsidRPr="00F93C9E" w:rsidRDefault="005757D1" w:rsidP="005757D1">
      <w:pPr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անասնագլխի համար պահանջվող չոր զանգվածի (ՉԶ-խոտի) հաշվարկ (մարմնի կշիռ x 0.025)</w:t>
      </w:r>
    </w:p>
    <w:tbl>
      <w:tblPr>
        <w:tblW w:w="9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951"/>
        <w:gridCol w:w="1134"/>
        <w:gridCol w:w="1439"/>
        <w:gridCol w:w="1049"/>
        <w:gridCol w:w="1702"/>
        <w:gridCol w:w="1718"/>
      </w:tblGrid>
      <w:tr w:rsidR="005757D1" w:rsidRPr="00F93C9E" w:rsidTr="005757D1">
        <w:trPr>
          <w:trHeight w:val="20"/>
          <w:jc w:val="center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Գյուղ.</w:t>
            </w:r>
          </w:p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Կենդանիներ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Գլխա</w:t>
            </w: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softHyphen/>
              <w:t>քանակ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Մարմնի միջին կշիռ, կգ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1-գլխի ՉԶ-ի պահանջ, կգ/օր</w:t>
            </w:r>
          </w:p>
        </w:tc>
        <w:tc>
          <w:tcPr>
            <w:tcW w:w="4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Ընդհանուր գլխաքանակի ՉԶ-ի պահանջ,կգ</w:t>
            </w:r>
          </w:p>
        </w:tc>
      </w:tr>
      <w:tr w:rsidR="005757D1" w:rsidRPr="00F93C9E" w:rsidTr="005757D1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Օրեկան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Արոտային շրջանում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Մսուրային շրջանում</w:t>
            </w:r>
          </w:p>
        </w:tc>
      </w:tr>
      <w:tr w:rsidR="005757D1" w:rsidRPr="00F93C9E" w:rsidTr="005757D1">
        <w:trPr>
          <w:trHeight w:val="53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ԲxԴ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</w:t>
            </w: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 x արած.օր,</w:t>
            </w:r>
          </w:p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ԽԵԿ </w:t>
            </w: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–</w:t>
            </w: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195 օր</w:t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</w:t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ՄԵԿ </w:t>
            </w: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- 270օր</w:t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</w:t>
            </w: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=</w:t>
            </w: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Ե x մսուր.օր,</w:t>
            </w:r>
          </w:p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ԽԵԿ</w:t>
            </w: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-170օր </w:t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ՄԵԿ-95օր</w:t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</w:tr>
      <w:tr w:rsidR="005757D1" w:rsidRPr="00F93C9E" w:rsidTr="005757D1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Կաթնատու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198900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173400</w:t>
            </w:r>
          </w:p>
        </w:tc>
      </w:tr>
      <w:tr w:rsidR="005757D1" w:rsidRPr="00F93C9E" w:rsidTr="005757D1">
        <w:trPr>
          <w:trHeight w:val="589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320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336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65520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57120</w:t>
            </w:r>
          </w:p>
        </w:tc>
      </w:tr>
      <w:tr w:rsidR="005757D1" w:rsidRPr="00F93C9E" w:rsidTr="005757D1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3-12 ամսական հորթեր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2.75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247.5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40837.5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50737.5</w:t>
            </w:r>
          </w:p>
        </w:tc>
      </w:tr>
      <w:tr w:rsidR="005757D1" w:rsidRPr="00F93C9E" w:rsidTr="005757D1">
        <w:trPr>
          <w:trHeight w:val="495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12-24 ամսական հորթեր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180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270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52650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45900</w:t>
            </w:r>
          </w:p>
        </w:tc>
      </w:tr>
      <w:tr w:rsidR="005757D1" w:rsidRPr="00F93C9E" w:rsidTr="005757D1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26325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22950</w:t>
            </w:r>
          </w:p>
        </w:tc>
      </w:tr>
      <w:tr w:rsidR="005757D1" w:rsidRPr="00F93C9E" w:rsidTr="005757D1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25350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22100</w:t>
            </w:r>
          </w:p>
        </w:tc>
      </w:tr>
      <w:tr w:rsidR="005757D1" w:rsidRPr="00F93C9E" w:rsidTr="005757D1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Մաքի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10800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3800</w:t>
            </w:r>
          </w:p>
        </w:tc>
      </w:tr>
      <w:tr w:rsidR="005757D1" w:rsidRPr="00F93C9E" w:rsidTr="005757D1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9450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3325</w:t>
            </w:r>
          </w:p>
        </w:tc>
      </w:tr>
      <w:tr w:rsidR="005757D1" w:rsidRPr="00F93C9E" w:rsidTr="005757D1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Գառ+ուլեր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0.62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34.1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7161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5285.5</w:t>
            </w:r>
          </w:p>
        </w:tc>
      </w:tr>
      <w:tr w:rsidR="005757D1" w:rsidRPr="00F93C9E" w:rsidTr="005757D1">
        <w:trPr>
          <w:trHeight w:val="174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8.75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26.25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7087.5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2493.7</w:t>
            </w:r>
          </w:p>
        </w:tc>
      </w:tr>
      <w:tr w:rsidR="005757D1" w:rsidRPr="00F93C9E" w:rsidTr="005757D1">
        <w:trPr>
          <w:trHeight w:val="174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Ավանակ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260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3510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1235</w:t>
            </w:r>
          </w:p>
        </w:tc>
      </w:tr>
      <w:tr w:rsidR="005757D1" w:rsidRPr="00F93C9E" w:rsidTr="005757D1">
        <w:trPr>
          <w:trHeight w:val="6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2286.8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447591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388346.7</w:t>
            </w:r>
          </w:p>
        </w:tc>
      </w:tr>
    </w:tbl>
    <w:p w:rsidR="005757D1" w:rsidRPr="00F93C9E" w:rsidRDefault="005757D1" w:rsidP="005757D1">
      <w:pPr>
        <w:rPr>
          <w:rFonts w:ascii="Sylfaen" w:hAnsi="Sylfaen"/>
          <w:sz w:val="16"/>
          <w:szCs w:val="16"/>
        </w:rPr>
      </w:pPr>
      <w:bookmarkStart w:id="12" w:name="_Toc402354608"/>
      <w:bookmarkStart w:id="13" w:name="_Toc524700600"/>
      <w:r w:rsidRPr="00F93C9E">
        <w:rPr>
          <w:rFonts w:ascii="Sylfaen" w:hAnsi="Sylfaen" w:cs="Sylfaen"/>
          <w:b/>
          <w:sz w:val="16"/>
          <w:szCs w:val="16"/>
        </w:rPr>
        <w:lastRenderedPageBreak/>
        <w:t>Ծանոթություն</w:t>
      </w:r>
      <w:r w:rsidRPr="00F93C9E">
        <w:rPr>
          <w:rFonts w:ascii="Sylfaen" w:hAnsi="Sylfaen"/>
          <w:sz w:val="16"/>
          <w:szCs w:val="16"/>
        </w:rPr>
        <w:t xml:space="preserve">` </w:t>
      </w:r>
      <w:r w:rsidRPr="00F93C9E">
        <w:rPr>
          <w:rFonts w:ascii="Sylfaen" w:hAnsi="Sylfaen" w:cs="Sylfaen"/>
          <w:sz w:val="16"/>
          <w:szCs w:val="16"/>
        </w:rPr>
        <w:t>գառների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արոտային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շրջանը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կազմում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է</w:t>
      </w:r>
      <w:r w:rsidRPr="00F93C9E">
        <w:rPr>
          <w:rFonts w:ascii="Sylfaen" w:hAnsi="Sylfaen"/>
          <w:sz w:val="16"/>
          <w:szCs w:val="16"/>
        </w:rPr>
        <w:t xml:space="preserve"> 210 </w:t>
      </w:r>
      <w:r w:rsidRPr="00F93C9E">
        <w:rPr>
          <w:rFonts w:ascii="Sylfaen" w:hAnsi="Sylfaen" w:cs="Sylfaen"/>
          <w:sz w:val="16"/>
          <w:szCs w:val="16"/>
        </w:rPr>
        <w:t>օր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մայիսի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առաջին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տասնօրյակից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մինջև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դեկտեմբերի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առաջին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տասնօրյակը</w:t>
      </w:r>
    </w:p>
    <w:p w:rsidR="005757D1" w:rsidRPr="00F93C9E" w:rsidRDefault="005757D1" w:rsidP="005757D1">
      <w:pPr>
        <w:pStyle w:val="1"/>
        <w:spacing w:before="0" w:after="0" w:line="360" w:lineRule="auto"/>
        <w:jc w:val="center"/>
        <w:rPr>
          <w:rFonts w:ascii="Sylfaen" w:hAnsi="Sylfaen"/>
          <w:b w:val="0"/>
          <w:sz w:val="16"/>
          <w:szCs w:val="16"/>
        </w:rPr>
      </w:pPr>
      <w:bookmarkStart w:id="14" w:name="_Toc17732968"/>
      <w:r w:rsidRPr="00F93C9E">
        <w:rPr>
          <w:rFonts w:ascii="Sylfaen" w:hAnsi="Sylfaen"/>
          <w:sz w:val="16"/>
          <w:szCs w:val="16"/>
        </w:rPr>
        <w:t xml:space="preserve">4. </w:t>
      </w:r>
      <w:r w:rsidRPr="00F93C9E">
        <w:rPr>
          <w:rFonts w:ascii="Sylfaen" w:hAnsi="Sylfaen" w:cs="Sylfaen"/>
          <w:sz w:val="16"/>
          <w:szCs w:val="16"/>
        </w:rPr>
        <w:t>Բնակավայրի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ֆիզիկաաշխարհագրական</w:t>
      </w:r>
      <w:bookmarkStart w:id="15" w:name="_Toc402354609"/>
      <w:bookmarkEnd w:id="12"/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առանձնահատկությունները</w:t>
      </w:r>
      <w:bookmarkEnd w:id="13"/>
      <w:bookmarkEnd w:id="14"/>
      <w:bookmarkEnd w:id="15"/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Գողթանիկ բնակավայրը աշխարհագրական տեղադրվածությամբ գտնվում է ՀՀ Վայոց Ձոր մարզի Եղեգնաձորի տարածաշրջանում, ծովի մակարդակից շուրջ 1850 մ բարձրության վրա: Բնակավայրի վարչական տարածքը տարածված է Վարդենիսի  լեռների  հարավ-արևմտյան կողմնադրման լանջերի ցածրադիր, միջին և վերին բարձրության սարավանդներում, ծովի մակարդակից 1600 մ-ից մինչև 3100 մ բարձրությունները, ներառնվելով հետևյալ բնական լանդշաֆտային գոտիներում՝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ա)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լեռնատա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փաս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տանային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գոտի                        ( ծ.մ.1600-2300 մ),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բ)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լեռնամարգագետնային  գոտի  ( ծ.մ.2300-2700 մ), 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գ)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ալպյան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լեռնամարգագետնային  գոտի           ( ծ.մ.2700-3100 մ),  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ձևավորված հողերի համար, որպես մայրական տեսակներ են հանդիսացել հրաբխածին և նստվածքային ապարները` հիմնականում անդեզիտո-բազալտային, անդեզիտային, տուֆային առավել սակավ՝ թերթաքարային կվարցերը, գրանիտները և տրավերտինները: Սրանց հողմնհարման արդյունքում ձևավորված տարրերը առավելապես դելյուվիալ, դելյուվիալ-պրոլյուվիալ, ալյուվիալ-պրոլյուվիալ գետահունային բերվածքների, ինչպես նաև մայրական ապարների լերկացման տեսքով առաջացրել են գենետիկական նստվածքներ, որոնցից և ձևավորվել են ներկայիս հողատիպերը (գորշ անտառային խճաքարային, տիպիկ մարգագետնատափաստանային, լեռնամարգագետնային թույլ և ուժեղ ճմակալած, լեռնամարգագետնային ճմատորֆային և դարչնագույն  հողեր): Հողերի քարքարոտվածությունը բարձրադիր մասերւոմ բարձր է և կազմում է 15-19 %: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spacing w:val="0"/>
          <w:sz w:val="16"/>
          <w:szCs w:val="16"/>
        </w:rPr>
        <w:t xml:space="preserve">ա) Լեռնատափաստանային գոտին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ընդգրկում է Վարդենիսի լեռների հարավ արևմտյան կողմնադրման լանջերի ցածրադիր հատվածները և հարակից լեռնային սարավանդները ծովի մակարդակից մինչև </w:t>
      </w:r>
      <w:r w:rsidRPr="00F93C9E">
        <w:rPr>
          <w:rFonts w:ascii="Sylfaen" w:hAnsi="Sylfaen"/>
          <w:bCs w:val="0"/>
          <w:spacing w:val="0"/>
          <w:sz w:val="16"/>
          <w:szCs w:val="16"/>
        </w:rPr>
        <w:t>2300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մ.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բարձրությամբ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: Կլիման բարեխառն լեռնային է, տաք ամառ և ցուրտ ձմեռ, կայուն ձնածածկույթով: Ամենաբարձր դրական ջերմաստիճանը ամռանը կազմում է +38,0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C, իսկ ամենացուրտ եղանակը գրանցվում է հունվար ամսին, միջինը -18-22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C:</w:t>
      </w:r>
    </w:p>
    <w:p w:rsidR="005757D1" w:rsidRPr="00F93C9E" w:rsidRDefault="005757D1" w:rsidP="005757D1">
      <w:pPr>
        <w:spacing w:line="360" w:lineRule="auto"/>
        <w:ind w:firstLine="54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Մթնոլորտային տեղումների տարեկան քանակը կազմում է 400-450 մմ: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Հողային ֆոնդը միջին և բարձր քարքարոտվածությամբ, հիմնականում բաղկացած է միջին և բարձր հզորությամբ լեռնաշագանակագույն հողերից և լեռնաանտառային դարչնագույն հողատիպերից: Մակերևույթային հոսքերը միջին արտահայտվածությամբ, առավել գերակշռում են ստորերկրյա հոսքերը: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Չոր կլիմայի պայմաններում, բնական լանդշաֆտներում օրգանական նյութի քայքայումը ինտեսիվ ձևով է կատարվում, որի հետևանքով գոտուն բնորոշ տարատեսակ հողերում հումուսի պարունակությունը կազմում է 4-5%: Հողածածկը միջին քարքարոտությամբ, հզորությունը մինջև 18-25 սմ: 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Բուսականությունը` հիմնականում դաշտավլուկազգի-տարախոտային տափաստանային է: Բնական բուսածածկոցում ամենուրեք գերիշխում են տարբեր սիզախոտեր, շյուղախոտեր, ոզնախոտը, ցորնուկը, դաշտավլուկը, սեզը, սիզախոտը, դաշտամոլախոտային վիկերը, հազարատերևուկը, օշինդրերը, իշակաթնուկը և այլն: Մեծ թեքությամբ լանջերին հանդիպում են փշաբարձային և վատորակ աստրագալային կիսաթփուտների զգալի տարածվածություն, առանձին հատվածներում մակերևույթային հողմնահարման և էռոզիաների հետևանքով առկա են մայրական ապարների ելքեր քարաբեկորների տեսքով: Առավել բարձրադիր հատվածների լեռնալանջերում հատվածներով տարածվում է երկրորդական ծագման թփուտային տարածքները: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Բուսածածկում հիմնականում գերակշռում են քսերոմեզոֆիտ տեսակները, որի պատճառով առաջացել են կերհանդակների քիչ տիպեր, որոնք հիմնականում օգտագործվում են որպես արոտավայրեր: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 w:cs="Sylfaen"/>
          <w:sz w:val="16"/>
          <w:szCs w:val="16"/>
        </w:rPr>
      </w:pPr>
      <w:r w:rsidRPr="00F93C9E">
        <w:rPr>
          <w:rFonts w:ascii="Sylfaen" w:hAnsi="Sylfaen"/>
          <w:b/>
          <w:bCs w:val="0"/>
          <w:spacing w:val="0"/>
          <w:sz w:val="16"/>
          <w:szCs w:val="16"/>
        </w:rPr>
        <w:t>բ) Մերձալպյան գոտի</w:t>
      </w:r>
      <w:bookmarkStart w:id="16" w:name="_Toc524700601"/>
      <w:bookmarkStart w:id="17" w:name="_Toc402354610"/>
      <w:r w:rsidRPr="00F93C9E">
        <w:rPr>
          <w:rFonts w:ascii="Sylfaen" w:hAnsi="Sylfaen"/>
          <w:b/>
          <w:bCs w:val="0"/>
          <w:spacing w:val="0"/>
          <w:sz w:val="16"/>
          <w:szCs w:val="16"/>
        </w:rPr>
        <w:t xml:space="preserve">,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ընդգրկում է Վարդենիսի լեռնաշղթայի հարավային կողմնադրության բարձրադիր լանջերը՝ ծ.մ. 2300-2700մ բարձրությունները: Բնական գործընթացներն այստեղ ընթանում են ցածր ջերմաստիճանների և համեմատաբար առատ խոնավության պայմաններում: Ձմեռն այստեղ տևական է (4-4.5ամիս) և միջին ձնառատությամբ: Ձմռան ամիսներին օդի միջին ջերմաստիճանը -12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C է, իսկ նվազագույնը՝ իջնում է՝ -28-30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ժամանակաշրջանը 3.5 ամիս է: 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Հողառաջացումը կատարվում է տևական ձնածածկույթի պայմաններում: Ցածր ջերմաստիճանը հնարավորություն է տալիս հզոր հումուսային շերտի առաջացմանը: Գոտին բնորոշվում է լեռնամարգագետնային թույլ և ուժեղ ճմակալված սևահողերով: Արգավանդ հողաշերտը հաճախ գերազանցելում է 40-50սմ-ը: Լանդշաֆտային գոտու զգալի հատվածներում առկա են խոշոր քարերի ելքեր և ժայռային գոյացություններ: Այստեղ ձևավորված են հիմնականում ենթալպյան փարթամ բուսածածկ, որտեղ հաճախ հանդիպող բուսատեսակներն են՝ խատուտիկը, ալպիական դաշտավլուկը, մարգագետնային սիզախոտը, հավաքված ոզնախոտը, սպիտակ սև և պսպղուն օշինդրերը, շյուղախոտեր, երեքնուկներ, եղջերառվույտը, փոքր առվույտը, վերոնիկան, զանգակածաղիկը, տերեփուկը, թթվիճը, գայլաթաթը, կելերյան, խայտաբղետ ցորնուկը, տարկավանը և այլն: Տարեկան թափվող տեղումների քանակը կազմում է մինչև 550-650 մմ: Գոտին բնութագրվում է բավականին բարձր բուսապատվածությամբ և հարուստ տեսակային կազմերով, հանդիպում են շուրջ 75-85 տեսակներ: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գ) Բարձր լեռնային ալպյան լեռնամարգագետնային գոտի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ընդգրկում է Վարդենիսի լեռնաշխթայի հարավ-արևմտյան կողմնադրության բարձրադիր լանջերը՝ 2700-3100մ բարձրությունները: Բնական գործընթացներն այստեղ ընթանում են ցածր ջերմաստիճանի և առատ խոնավության պայմաններում: Ձմեռը տևական է 4.5-5 ամիս, ձնառատ: Ձմռանը օդի միջին ջերմաստիճանը -10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 է, նվազագույնը մինչև -34-36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ժամանակահատվածը 2.5-3 ամիս է: գոտին բնութագրվում է հիմնականում լեռնամարգագետնային ուժեղ ճմակալված, լեռնամարգագետնային ճմատորֆային և ճմակալված դարչնագույն մեծ հզորությամբ հողերի գերակշռությամբ: Բուսածածկը ցածր է 8-12սմ բարձրությամբ, օժտված արագ աճեցողությամբ: Այս գոտու լանդշաֆտներում ձևավորված են ալպյան գորգերը, որոնք հաճախ խախտվում են ժայռերով և չինգիլներով: Բուսական ծածկոցի կազմը հիմնականում պայմանավորված է լանջերի դիրքադրումից և քարային կուտակումների միկրոպայմաններից: Գոտու արոտավայրերի որոշ մասը օգտագործվում է հեռագնա ճամբարային պահվածքով: </w:t>
      </w:r>
    </w:p>
    <w:p w:rsidR="005757D1" w:rsidRPr="00F93C9E" w:rsidRDefault="005757D1" w:rsidP="005757D1">
      <w:pPr>
        <w:pStyle w:val="2"/>
        <w:spacing w:before="0" w:after="0" w:line="360" w:lineRule="auto"/>
        <w:rPr>
          <w:rFonts w:ascii="Sylfaen" w:hAnsi="Sylfaen"/>
          <w:i w:val="0"/>
          <w:color w:val="auto"/>
          <w:sz w:val="16"/>
          <w:szCs w:val="16"/>
          <w:lang w:val="en-US"/>
        </w:rPr>
      </w:pPr>
      <w:r w:rsidRPr="00F93C9E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</w:p>
    <w:p w:rsidR="005757D1" w:rsidRPr="00F93C9E" w:rsidRDefault="005757D1" w:rsidP="005757D1">
      <w:pPr>
        <w:pStyle w:val="2"/>
        <w:spacing w:before="0" w:after="0" w:line="360" w:lineRule="auto"/>
        <w:rPr>
          <w:rFonts w:ascii="Sylfaen" w:hAnsi="Sylfaen" w:cs="Sylfaen"/>
          <w:i w:val="0"/>
          <w:color w:val="auto"/>
          <w:sz w:val="16"/>
          <w:szCs w:val="16"/>
          <w:lang w:val="en-US"/>
        </w:rPr>
      </w:pPr>
      <w:bookmarkStart w:id="18" w:name="_Toc17732969"/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4.1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Արոտատեղամասերի էկոլոգիական</w:t>
      </w:r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գնահատում</w:t>
      </w:r>
      <w:bookmarkEnd w:id="16"/>
      <w:bookmarkEnd w:id="17"/>
      <w:bookmarkEnd w:id="18"/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color w:val="auto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Գողթանիկ բնակավայրի վարչական տարածքում բ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նական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ար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ո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տներ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 (նոր քարտեզագրումով ստացված տվյալներով) կազմում են 2693.89հա,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ինչը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բնականաբար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կարևորագույն ռեսուրս է բնակավայրի պայմաններում անասնապահության ոլորտին անհրաժեշտ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արոտային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շրջանի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կերապահովման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խնդրի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լուծմ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ն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գործում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Բնակավայրի արոտավայրերը տարածված են վերը նշված լանդշաֆտային գոտիների տարբեր բարձրություններում, որտեղ էականորեն տարբերվում են ինչպես բուսատեղի պայմանները, այնպես էլ ձևավորվող բուսածածկն ու բուսապատվածության աստիճանը (աղ.4): </w:t>
      </w:r>
    </w:p>
    <w:p w:rsidR="005757D1" w:rsidRPr="00F93C9E" w:rsidRDefault="005757D1" w:rsidP="005757D1">
      <w:pPr>
        <w:spacing w:line="360" w:lineRule="auto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     Աղյուսակ 4</w:t>
      </w:r>
    </w:p>
    <w:p w:rsidR="005757D1" w:rsidRPr="00F93C9E" w:rsidRDefault="005757D1" w:rsidP="005757D1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Լանդշաֆտային գոտիների արոտավայրերում առկա տարրեր և </w:t>
      </w:r>
    </w:p>
    <w:p w:rsidR="005757D1" w:rsidRPr="00F93C9E" w:rsidRDefault="005757D1" w:rsidP="005757D1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բուսապատվածություն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(%)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411"/>
        <w:gridCol w:w="851"/>
        <w:gridCol w:w="1418"/>
        <w:gridCol w:w="1277"/>
        <w:gridCol w:w="1277"/>
        <w:gridCol w:w="1418"/>
      </w:tblGrid>
      <w:tr w:rsidR="005757D1" w:rsidRPr="00F93C9E" w:rsidTr="005757D1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անվանումը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Չափը, հա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Քարքա</w:t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րոտու</w:t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թյունը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Ժայռոտ ափերով ձորեր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</w:t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ծածկ տարածք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Լանդշաֆտային գոտի</w:t>
            </w:r>
          </w:p>
        </w:tc>
      </w:tr>
      <w:tr w:rsidR="005757D1" w:rsidRPr="00F93C9E" w:rsidTr="005757D1">
        <w:trPr>
          <w:trHeight w:val="3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Սառնաղբյուր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170.19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5757D1" w:rsidRPr="00F93C9E" w:rsidTr="005757D1">
        <w:trPr>
          <w:trHeight w:val="2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Թաք ծառ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62.3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1/2</w:t>
            </w:r>
          </w:p>
        </w:tc>
      </w:tr>
      <w:tr w:rsidR="005757D1" w:rsidRPr="00F93C9E" w:rsidTr="005757D1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Վերին ջանի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191.58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Քառասուն աղբյուր-1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184.98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3/2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Քառասուն աղբյուր-2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141.64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3/2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Քառասուն աղբյուր-3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124.12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Գերեզմաների տարածք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105.54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3/2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96.1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105.08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114.97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145.39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lastRenderedPageBreak/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163.88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3/2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68.47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138.39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197.89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117.8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128.35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3/2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96.28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3/2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100.94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3/2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99.91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49.02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5757D1" w:rsidRPr="00F93C9E" w:rsidTr="005757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Սար-15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90.82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</w:tbl>
    <w:p w:rsidR="005757D1" w:rsidRPr="00F93C9E" w:rsidRDefault="005757D1" w:rsidP="005757D1">
      <w:pPr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աղյուսակում լանդշաֆտային գոտին ներկայացված է համապատասխան թվով`  </w:t>
      </w:r>
    </w:p>
    <w:p w:rsidR="005757D1" w:rsidRPr="00F93C9E" w:rsidRDefault="005757D1" w:rsidP="005757D1">
      <w:pPr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1-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լեռնատափաստանային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, 2- մերձալպյան, 3-ալպյան լեռնամարգագետնային:</w:t>
      </w:r>
    </w:p>
    <w:p w:rsidR="005757D1" w:rsidRPr="00F93C9E" w:rsidRDefault="005757D1" w:rsidP="005757D1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Նշված գոտիներում առանձնացվել են 22 արոտատեղամասեր (տես` աղյուսակ 4): Արոտատեղամասերի առանձնացումը կատարվել է երկու մոտեցմամբ, ըստ լանդշաֆտային գոտու բարձրությունների և ռելիեֆի ձևաբանական միավորների (գետահովիտներ, բլրաշարեր և այլն): Իսկ արոտատեղամասերի էկոլոգիական իրավիճակի գնահատումը կատարվել է հիմնականում դաշտային ուսումնասիրությունների` մոնիտորինգի արդյունքում, ինչպես նաև կամերալ պայմաններում տիեզերական նկարների վիզուալ վերծանմամբ:</w:t>
      </w:r>
    </w:p>
    <w:p w:rsidR="005757D1" w:rsidRPr="00F93C9E" w:rsidRDefault="005757D1" w:rsidP="005757D1">
      <w:pPr>
        <w:spacing w:line="360" w:lineRule="auto"/>
        <w:ind w:firstLine="720"/>
        <w:jc w:val="both"/>
        <w:rPr>
          <w:rFonts w:ascii="Sylfaen" w:hAnsi="Sylfaen"/>
          <w:b/>
          <w:bCs w:val="0"/>
          <w:color w:val="FF0000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spacing w:val="0"/>
          <w:sz w:val="16"/>
          <w:szCs w:val="16"/>
        </w:rPr>
        <w:t xml:space="preserve">Լեռնատափաստանային </w:t>
      </w:r>
      <w:r w:rsidRPr="00F93C9E">
        <w:rPr>
          <w:rFonts w:ascii="Sylfaen" w:hAnsi="Sylfaen"/>
          <w:bCs w:val="0"/>
          <w:spacing w:val="0"/>
          <w:sz w:val="16"/>
          <w:szCs w:val="16"/>
        </w:rPr>
        <w:t>լանդշաֆտային գոտում է գտնվում արոտավայրերի 7.75</w:t>
      </w:r>
      <w:r w:rsidRPr="00F93C9E">
        <w:rPr>
          <w:rFonts w:ascii="Times Armenian" w:hAnsi="Times Armenian"/>
          <w:bCs w:val="0"/>
          <w:spacing w:val="0"/>
          <w:sz w:val="16"/>
          <w:szCs w:val="16"/>
        </w:rPr>
        <w:t xml:space="preserve">%  </w:t>
      </w:r>
      <w:r w:rsidRPr="00F93C9E">
        <w:rPr>
          <w:rFonts w:ascii="Sylfaen" w:hAnsi="Sylfaen"/>
          <w:bCs w:val="0"/>
          <w:spacing w:val="0"/>
          <w:sz w:val="16"/>
          <w:szCs w:val="16"/>
        </w:rPr>
        <w:t>(208.82),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որտեղ </w:t>
      </w:r>
      <w:r w:rsidRPr="00F93C9E">
        <w:rPr>
          <w:rFonts w:ascii="Sylfaen" w:hAnsi="Sylfaen"/>
          <w:bCs w:val="0"/>
          <w:spacing w:val="0"/>
          <w:sz w:val="16"/>
          <w:szCs w:val="16"/>
        </w:rPr>
        <w:t xml:space="preserve"> առանձնացվել է Սառնաղբյուր արոտավայրն ու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Թաք ծառ արոտավայրի ցածրադիր հատվածները:</w:t>
      </w:r>
      <w:r w:rsidRPr="00F93C9E">
        <w:rPr>
          <w:rFonts w:ascii="Sylfaen" w:hAnsi="Sylfaen"/>
          <w:bCs w:val="0"/>
          <w:spacing w:val="0"/>
          <w:sz w:val="16"/>
          <w:szCs w:val="16"/>
        </w:rPr>
        <w:t xml:space="preserve"> Այս արոտավայրերին բնորոշ է քարքարոտության թույլ աստիճան, մինջև 4-6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%:</w:t>
      </w:r>
      <w:r w:rsidRPr="00F93C9E">
        <w:rPr>
          <w:rFonts w:ascii="Sylfaen" w:hAnsi="Sylfaen"/>
          <w:bCs w:val="0"/>
          <w:spacing w:val="0"/>
          <w:sz w:val="16"/>
          <w:szCs w:val="16"/>
        </w:rPr>
        <w:t xml:space="preserve"> Էկոլոգիական գնահատման տեսակետից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բնակավայրամերձ այս արոտավայրերում առկա է բուսածածկի հիմնականում միջին, մասամբ նաև բարձր դեգրադացվածություն, պայմանավորված գերօգտագործվածության բարձր մակարդակով: Որոշ հատվածներում զգալի տարածում ունեն կիսաթփուտային բուսուտների տարածվածությունը (0.6-1.4%), արոտատեղամասերում միջին բուսապատվածությունն կազմում է </w:t>
      </w:r>
      <w:r w:rsidRPr="00F93C9E">
        <w:rPr>
          <w:rFonts w:ascii="Sylfaen" w:hAnsi="Sylfaen"/>
          <w:bCs w:val="0"/>
          <w:spacing w:val="0"/>
          <w:sz w:val="16"/>
          <w:szCs w:val="16"/>
        </w:rPr>
        <w:t>75-78</w:t>
      </w:r>
      <w:r w:rsidRPr="00F93C9E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%: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Բուսակացքը տեսակային կազմերով հարուստ է, առավելապես գերակշռում են չափավոր խոնավասեր տեսակները</w:t>
      </w:r>
      <w:r w:rsidRPr="00F93C9E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: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Այս արոտատեղամասերում առկա է վարընթաց զարգացում,  բավականին բարձր են արոտի դեգրադացիայի </w:t>
      </w:r>
      <w:r w:rsidRPr="00F93C9E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ԱԴՑ)  և էրոզիայի հակվածության </w:t>
      </w:r>
      <w:r w:rsidRPr="00F93C9E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ԷՀՑ)  ցուցանիշները: Միջին ռիսկային արոտավայրեր են համաձայն արոտի իրավիճակի ցուցանիշի </w:t>
      </w:r>
      <w:r w:rsidRPr="00F93C9E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ԱԻՑ) ստացված արժեքների: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Մերձալպյան լեռնամարգագետնա</w:t>
      </w: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softHyphen/>
        <w:t>յին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լանդշաֆտային գոտում տարածված են արոտավայրերի փոքր հատվածներ` </w:t>
      </w:r>
      <w:r w:rsidRPr="00F93C9E">
        <w:rPr>
          <w:rFonts w:ascii="Sylfaen" w:hAnsi="Sylfaen"/>
          <w:bCs w:val="0"/>
          <w:spacing w:val="0"/>
          <w:sz w:val="16"/>
          <w:szCs w:val="16"/>
        </w:rPr>
        <w:t xml:space="preserve">11.02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%</w:t>
      </w:r>
      <w:r w:rsidRPr="00F93C9E">
        <w:rPr>
          <w:rFonts w:ascii="Sylfaen" w:hAnsi="Sylfaen"/>
          <w:bCs w:val="0"/>
          <w:spacing w:val="0"/>
          <w:sz w:val="16"/>
          <w:szCs w:val="16"/>
        </w:rPr>
        <w:t xml:space="preserve"> (296.68 հա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) , առանձնացվել է Թաք ծառ և Վերին ջանի արոտավայրի բարձրադիր հատվածները, ինչպես նաև Քառասուն աղբյուր-1: 2, Գերեզմաների տարածք, Սար-5, Սար-10: 11 և 12 արոտատեղամասերի ցածրադիր հատվածները: Էկոլոգիական գնահատման տեսակետից այս տեղամասին բնորոշ է  միջին և բարձր քարքարոտվածությունը` մինչև 5-20%: Քարքարոտվածության  հետ մեկտեղ առկա են փշաբարձային կիսաթփուտների մեծ տարածվածություն, որոշ հատվածներում նաև նոսրանտառային թփուտներ: Միջին և բարձր թեքությամբ նոսրացած բուսածածկով լանջերին  հատվածներով առկա է քարային ցրոների տարածվածություն և մակերևույթային էրոզիայի հստակ նշաններ, պայմանավորված մասնակի և ընդարձակվող բուսազրկվածությամբ: Միջին բուսապատվածության աստիճանը արոտում կազմում է մինչև 81-83 %: Միջին ռիսկային արոտավայրեր են համաձայն արոտի իրավիճակի ցուցանիշի </w:t>
      </w:r>
      <w:r w:rsidRPr="00F93C9E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ԱԻՑ) ստացված արժեքների: Բուսածածկում առավելապես գերակշռում են մերձալպյան բարձրախոտային համակեցությունները: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Ալպյան լեռնամարգագետնային գոտում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առանձնացվել են   Քառասուն աղբյուր-3,  Սար-1: 2: 3: 4: 6: 7: 8: 9: 13: 14 և 15 արոտավայրերը, ինչպես նաև Քառասուն աղբյուր-1: 2, Սար-5: 10: 11, և 12 արոտավայրերի բարձրադիր հատվածները : Գոտու արոտների մակերևույթը բնութագրվում է հիմնականում միջին և բարձր ռելիֆայնությամբ, տեղ-տեղ գերբարձր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թեքության լանջերով և զառիթափեր ունեցող լեռնազանգվածներով (որոշ հատվածներում լանջերի թեքությունը կազմում է 40-55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), խորը ընկած ձորերով և միջլեռնային հարթություններով: Գոտու տեղամասերի բնորոշ առանձնահատկություններից մեկը  քարացրոնների և լեռնային չինգիլների զգալի տարածվածությունն է, ինչով պայմանավորված զգալի կրճատվում է որոշ արոտատեղամասերի օգտակար մակերեսները: Այստեղ նույնպես քարքարոտվածությունը տատանվում է մեծ միջակայքում՝ 10-24%-ի սահմաններում: Բարձր է քարքարոտվածությունն հատկապես Սար-8: 10: 11: 13 և Սար-15 արոտատեղամասում, կազմելով 17-24 %: Այս գոտու հիմնական արոտատեղամասերում  համեմատաբար բարձր է բուսապատվածությունը, ինչով պայմանավորված էկոլոգիական վիճակը համեմատաբար կայուն է: Ընդհանուր բուսապատվածությունը կազմում է 73-86%: Արոտներում առկա է համեմատաբար կայուն վիճակ, էռոզիայի հակվածությոնն (ԷՀՑ)  և արոտի դեգրադացվածությունն (ԱԴՑ) միջին և ցածր ռիսկային տիրույթում է: 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Ընդհանուր առմամբ բնակավայրի արոտներից առավել դեգրադացված են լեռնատափաստանային գոտու բնակավայրամերձ հատվածի արոտները, որտեղ պայմանավորված վաղ գարնանային գերարածեցումների և ոտնահարման բարձր մակարդակով, առկա են դեգրադացված տարածքներ, իսկ թեքություններում ձևավորվել և զարգացում է ապրում մակերևույթային էրոզիան, ինչով և պայմանավորված արոտների որոշ հատվածներում իրավիճակի ցուցանիշները (ԱԻՑ) գնահատվում է միջինից բարձր ռիսկային:</w:t>
      </w:r>
    </w:p>
    <w:p w:rsidR="005757D1" w:rsidRPr="00F93C9E" w:rsidRDefault="005757D1" w:rsidP="005757D1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19" w:name="_Toc402354611"/>
      <w:bookmarkStart w:id="20" w:name="_Toc17732970"/>
      <w:bookmarkStart w:id="21" w:name="_Toc524700602"/>
      <w:r w:rsidRPr="00F93C9E">
        <w:rPr>
          <w:rFonts w:ascii="Sylfaen" w:hAnsi="Sylfaen"/>
          <w:sz w:val="16"/>
          <w:szCs w:val="16"/>
        </w:rPr>
        <w:t xml:space="preserve">5. </w:t>
      </w:r>
      <w:r w:rsidRPr="00F93C9E">
        <w:rPr>
          <w:rFonts w:ascii="Sylfaen" w:hAnsi="Sylfaen" w:cs="Sylfaen"/>
          <w:sz w:val="16"/>
          <w:szCs w:val="16"/>
        </w:rPr>
        <w:t>Ընթացիկ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կառավարում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ըստ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գոտ</w:t>
      </w:r>
      <w:bookmarkEnd w:id="19"/>
      <w:r w:rsidRPr="00F93C9E">
        <w:rPr>
          <w:rFonts w:ascii="Sylfaen" w:hAnsi="Sylfaen" w:cs="Sylfaen"/>
          <w:sz w:val="16"/>
          <w:szCs w:val="16"/>
        </w:rPr>
        <w:t>ու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արոտատեղամասերի</w:t>
      </w:r>
      <w:bookmarkEnd w:id="20"/>
      <w:bookmarkEnd w:id="21"/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Գողթանիկ բնակավայրի վարչական տարածքում պայմանավորված ծովի մակարդակից բարձրությամբ և տեղադիրքով առանձնացվել են արոտատեղամասերի տեղաբաշխման 3 հիմնական լանդշաֆտային գոտիներ: Ներկայացնենք լանդշաֆտային գոտիների տարբեր հատվածներում առանձնացված արոտների արածեցման կարգի որոշ առանձնահատկություններ: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Պայմանավորված աշխարհագրական տեղադիրքով և կենսակլիմայական պայմաններով, բնակավայրի պայմաններում խոշոր եղջերավորի արոտային շրջանը կազմում է շուրջ 195 օր (ապրիլի երրորդ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տասնօրյակից  մինչև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նոյեմբերի առաջին տասնօրյակը), իսկ մանր եղջերավորի (ոչխարի) արոտային շրջանը կազմում է 270 օր (մարտի երկրորդ տասնօրյակից մինչև դեկտեմբերի առաջին տասնօրյակը, 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Լեռնատափաստանային գոտում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խոշոր եղջերավոր անասունների արածեցումը սկսվում է ապրիլի երրորդ տասնօրյակից: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Սովորաբար  այս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արոտատեղամասերում կազմակերպվում է վաղ գարնանային արոտային շրջանը: Աշնանային ժամանակահատվածում, մինջև մսուրային շրջանին անցնելը, որոշ արոտատեղամասեր կրկնակի անգամ օգտագործվում են: Ներկայում այս արոտատեղամասերում արոտօգտագործումն իրականացվում է անհավասարաչափ և անկանոն: 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spacing w:val="0"/>
          <w:sz w:val="16"/>
          <w:szCs w:val="16"/>
        </w:rPr>
        <w:t xml:space="preserve">Մերձալպյան լեռնամարգագետնային </w:t>
      </w: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գոտում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տարածված են</w:t>
      </w:r>
      <w:r w:rsidRPr="00F93C9E">
        <w:rPr>
          <w:rFonts w:ascii="Sylfaen" w:hAnsi="Sylfaen"/>
          <w:bCs w:val="0"/>
          <w:spacing w:val="0"/>
          <w:sz w:val="16"/>
          <w:szCs w:val="16"/>
        </w:rPr>
        <w:t xml:space="preserve"> արոտներից </w:t>
      </w:r>
      <w:r w:rsidRPr="00F93C9E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11.02 </w:t>
      </w:r>
      <w:r w:rsidRPr="00F93C9E">
        <w:rPr>
          <w:rFonts w:ascii="Times Armenian" w:hAnsi="Times Armenian"/>
          <w:bCs w:val="0"/>
          <w:color w:val="auto"/>
          <w:spacing w:val="0"/>
          <w:sz w:val="16"/>
          <w:szCs w:val="16"/>
        </w:rPr>
        <w:t>%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 296.68 հա-ը: Այս գոտու առավել ցածրադիր հատվածները օգտագործվում են տափաստանային գոտու արոտների օգտագործման հետ ժամանակահատվածում ստացիոնար եղանակով, իսկ առավել բարձրադիր և հեռու հատվածներն օգտագործվում են հեռագնա սեզոնային պահվածքի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կազմակերպումով :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Ալպյան բարձր լեռնային գոտում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տարածվում են արոտավայրերի ընդարձակ տարածքներ, որոնք կազմում են բնակավայրի արոտային ֆոնդի 81.23 %-ը (2188.12 հա): Այս գոտու արոտների որոշ հատվածները` հատկապես ցածրադիր մասերը օգտագործվում են հեռագնա ճամբարային պահվածքով (Հունիսի երկրորդ տասնօրյակից մինչև սեպտեմբերի երկրորդ տասնօրյակը), մասնավորապես այլ համայնքներից  վարձակալական հիմունքներով մանր եղջերավորի ամառային արոտային ժամանակահատվածը կազմակերպելու համար: Պայմանավորված հեռագնա պահվածք կազմակերպելուն անհրաժեշտ ենթակառուցվածքների բացակայությամբ, այս գոտու առավել բարձրադիր և հեռավոր հատվածները հիմնականում չեն օգտագործվում, առավելապես օգտագործվում են համեմատաբար ցածրադիր և ջրելատեղերին առավել մոտ արոտավայրերը: Արոտատեղամասերում կայուն հեռագնա արոտօգտագործում իրականացնելու համար, անհրաժեշտ է նոր ենթակառուցվածքների ստեղծումը, քանի, որ նախկինում կառուցված ենթակառուցվածքներն հիմնականում քայքայվել և օգտագործման պիտանելիություն չունեն: Գտնում ենք, որ արոտավայրերում հեռագնա կայուն արոտօգտագործում իրականացնելու համար անհրաժեշտ է կենդանիների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գիշերակացի համար նոր մակատեղի կառուցումը, ինչով և ապահովվելու է այս գոտու արոտավայրերի կայուն  օգտագործումն: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Աշնանային ժամանակահատվածում, մինչև մսուրային շրջանին անցնելը, պայմանավորված բարձրադիր արոտավայրերում կլիմայական հնարավոր անբարենպաստ պայմաններով, արոտակերի ապահովման համար որոշակի ժամանակահատված օգտագործվում են նաև այլընտրանքային կերապահովման տարածքների` բերքահավաք կատարած վարելահողերի, բնական խոտհարքների ինչպես նաև այլ հողատեսքերի մնացորդային խոզանն, վերաճած ահլուկն ու բուսածածկը:</w:t>
      </w:r>
    </w:p>
    <w:p w:rsidR="005757D1" w:rsidRPr="00F93C9E" w:rsidRDefault="005757D1" w:rsidP="005757D1">
      <w:pPr>
        <w:spacing w:line="408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Որպես արոտակերի ապահովման այլընտրանքային միջոց, արոտի նպատակով օգտագործվում են նաև 1527.52 հա այլ հողատեսքերի որոշ հատվածների բուսածածկը</w:t>
      </w:r>
    </w:p>
    <w:p w:rsidR="005757D1" w:rsidRPr="00F93C9E" w:rsidRDefault="005757D1" w:rsidP="005757D1">
      <w:pPr>
        <w:spacing w:line="408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pStyle w:val="2"/>
        <w:spacing w:before="0" w:after="0"/>
        <w:jc w:val="center"/>
        <w:rPr>
          <w:rFonts w:ascii="Sylfaen" w:hAnsi="Sylfaen"/>
          <w:i w:val="0"/>
          <w:color w:val="auto"/>
          <w:sz w:val="16"/>
          <w:szCs w:val="16"/>
        </w:rPr>
      </w:pPr>
      <w:bookmarkStart w:id="22" w:name="_Toc17732971"/>
      <w:bookmarkStart w:id="23" w:name="_Toc524700603"/>
      <w:bookmarkStart w:id="24" w:name="_Toc402354612"/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5.1. </w:t>
      </w:r>
      <w:r w:rsidRPr="00F93C9E">
        <w:rPr>
          <w:rFonts w:ascii="Sylfaen" w:hAnsi="Sylfaen" w:cs="Sylfaen"/>
          <w:i w:val="0"/>
          <w:color w:val="auto"/>
          <w:sz w:val="16"/>
          <w:szCs w:val="16"/>
          <w:lang w:val="en-US"/>
        </w:rPr>
        <w:t>Բնակավայրի</w:t>
      </w:r>
      <w:r w:rsidRPr="00F93C9E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արոտների</w:t>
      </w:r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խոտհարքների</w:t>
      </w:r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բուսածածկ</w:t>
      </w:r>
      <w:r w:rsidRPr="00F93C9E">
        <w:rPr>
          <w:rFonts w:ascii="Sylfaen" w:hAnsi="Sylfaen" w:cs="Sylfaen"/>
          <w:i w:val="0"/>
          <w:color w:val="auto"/>
          <w:sz w:val="16"/>
          <w:szCs w:val="16"/>
          <w:lang w:val="en-US"/>
        </w:rPr>
        <w:t>ն</w:t>
      </w:r>
      <w:r w:rsidRPr="00F93C9E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  <w:lang w:val="en-US"/>
        </w:rPr>
        <w:t>ու</w:t>
      </w:r>
      <w:r w:rsidRPr="00F93C9E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բերքատվության</w:t>
      </w:r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ցուցանիշները</w:t>
      </w:r>
      <w:bookmarkEnd w:id="22"/>
      <w:bookmarkEnd w:id="23"/>
      <w:bookmarkEnd w:id="24"/>
    </w:p>
    <w:p w:rsidR="005757D1" w:rsidRPr="00F93C9E" w:rsidRDefault="005757D1" w:rsidP="005757D1">
      <w:pPr>
        <w:spacing w:line="360" w:lineRule="auto"/>
        <w:rPr>
          <w:rFonts w:ascii="Sylfaen" w:hAnsi="Sylfaen"/>
          <w:color w:val="auto"/>
          <w:sz w:val="16"/>
          <w:szCs w:val="16"/>
        </w:rPr>
      </w:pP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Արոտավայրերում և բնական խոտհարքներում դաշտային հետազոտություններն (գնահատման նպատակով) իրականացվել են ըստ Գերմանիայի միջազգային համագործակցության ընկերության (ԳՄՀԸ) կողմից իրականացվող «Կենսաբազմազանության կայուն կառավարում, Հարավային Կովկաս» ծրագրի շրջանակներում մշակված “Ամառային արոտների մշտադիտարկման ձեռնարկ Հայաստան”-ի մեթոդաբանության, ինչպես նաև ըստ Կոլորադոյի գիտության և տեխնոլոգիայի ազգային կենտրոնի` տարածքների կառավարման բյուրոյի կողմից մշակված “Էկոլոգիական տեղանքների նկարագրություն տեխնիկական հանձնարարականների (Technical Reference 1737-7 of Ecologial site Inventory, Colorado, 2001, NSTC, BLM)”, հաշվի են առնվել նաև “Արոտավայրերի և խոտհարքների օգտագործման” կանոնակարգի վերաբերյալ ՀՀ Կառավարության 2011թ.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ապրիլի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14-ի N 389-ն որոշման հիմնական դրույթները: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Արածեցման ազդեցությունը արոտավայրերի բուսածածկի վրա գնահատելու նպատակով համեմատվել են լանդշաֆտային գոտու մաքուր բուսածածկերի միջին տոկոսը (հանվել են քարքարոտ տարածքները, ժայռերը, ձորակները, թփերի զբաղեցրած տարածքը, ճանապարհները և այլն), տարածքների պոտենցիալ արդյունավետությունը և արածեցման թողած ազդեցության չափը:       </w:t>
      </w:r>
    </w:p>
    <w:p w:rsidR="005757D1" w:rsidRPr="00F93C9E" w:rsidRDefault="005757D1" w:rsidP="005757D1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5 </w:t>
      </w: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Բուսածածկի տոկոսը և արածեցման ազդեցությունը կենսազանգվածի ելքի վրա գոտու պայմաններում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3"/>
        <w:gridCol w:w="1560"/>
        <w:gridCol w:w="1417"/>
        <w:gridCol w:w="1559"/>
        <w:gridCol w:w="2126"/>
      </w:tblGrid>
      <w:tr w:rsidR="005757D1" w:rsidRPr="00F93C9E" w:rsidTr="005757D1">
        <w:trPr>
          <w:cantSplit/>
          <w:trHeight w:val="4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Արոտի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վիճակ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Բարձրու</w:t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թյուն, 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Բուսածածկ,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vertAlign w:val="superscript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Բերքատվություն, կգ/հա</w:t>
            </w:r>
          </w:p>
        </w:tc>
      </w:tr>
      <w:tr w:rsidR="005757D1" w:rsidRPr="00F93C9E" w:rsidTr="005757D1">
        <w:trPr>
          <w:cantSplit/>
          <w:trHeight w:val="337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Լեռնատափաստանային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1600-2300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1460</w:t>
            </w:r>
          </w:p>
        </w:tc>
      </w:tr>
      <w:tr w:rsidR="005757D1" w:rsidRPr="00F93C9E" w:rsidTr="005757D1">
        <w:trPr>
          <w:cantSplit/>
          <w:trHeight w:val="33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420</w:t>
            </w:r>
          </w:p>
        </w:tc>
      </w:tr>
      <w:tr w:rsidR="005757D1" w:rsidRPr="00F93C9E" w:rsidTr="005757D1">
        <w:trPr>
          <w:cantSplit/>
          <w:trHeight w:val="20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2300-2700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1680</w:t>
            </w:r>
          </w:p>
        </w:tc>
      </w:tr>
      <w:tr w:rsidR="005757D1" w:rsidRPr="00F93C9E" w:rsidTr="005757D1">
        <w:trPr>
          <w:cantSplit/>
          <w:trHeight w:val="218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550</w:t>
            </w:r>
          </w:p>
        </w:tc>
      </w:tr>
      <w:tr w:rsidR="005757D1" w:rsidRPr="00F93C9E" w:rsidTr="005757D1">
        <w:trPr>
          <w:cantSplit/>
          <w:trHeight w:val="20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2700-3100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1620</w:t>
            </w:r>
          </w:p>
        </w:tc>
      </w:tr>
      <w:tr w:rsidR="005757D1" w:rsidRPr="00F93C9E" w:rsidTr="005757D1">
        <w:trPr>
          <w:cantSplit/>
          <w:trHeight w:val="21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600</w:t>
            </w:r>
          </w:p>
        </w:tc>
      </w:tr>
    </w:tbl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Արոտների և խոտհարքների արտադրողականության և արդյունավետության որոշման համար, ըստ միատարության չափանիշների ընտրված արոտային և խոտհարքային տեղամասերից վերցվել են բուսական նմուշներ, օգտագործելով 10000 սմ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2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-ոց “մետրովկաներ”, որոշվել է դրանց թաց և չոր կշիռը: Առանձնացվել են հիմնական մարգագետնային բուսախմբերը (հացազգի, բակլազգի, տարախոտ և վնասակար ու թունավոր), որոշվել հիմնական տեսակները, ինչպես նաև բուսաբանատնտեսական խմբավորումների պարունակության տոկոսը: Ըստ բուսական նմուշի չոր կշռի, առկա բուսախմբակցությունների և տեսակային կազմերի վերաճի հնարավորու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թյան, հաշվարկվել և ճշգրտվել են ողջ վեգետացիոն ժամանակահատվածում միավոր մակերեսների (1հա) հնարավոր բերքատվության ցուցանիշները յուրաքանչյուր բնական գոտու պայմաններում: 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Լեռնատափաստանային գոտու արոտավայրերի բուսածածկում` 55.6 % կազմել են դաշտավլուկազգիները, 36.0 % տարախոտեր, 8.4 % բակլազգիներ,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դաշտավլուկազգի-տարախոտային տափաստանային բուսակացք: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Մերձալպյան գոտու արոտավայրերի բուսածածկում` 57.2% կազմել են դաշտավլուկազգիները, 30.3 % տարախոտեր, 12.5 % բակլազգիներ,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դաշտավլուկազգի-տարախոտաբակլազգի մերձալպյան բարձրախոտային բուսակացք: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Ալպյան գոտու արոտավայրերի բուսածածկում` 63.8% կազմել են դաշտավլուկազգիները, 28.2% տարախոտեր, 8.0 % բակլազգիներ, ձևավորված է դաշտավլուկազգի- տարախոտաբակլազգի լեռնամարգագետնային բուսակացք: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Ինչպես երևում է (աղյուսակ 5), հողի խոտաբույսերով բուսապատվածության աստիճանը չարածեցված տարածքներում տատանվել է 76-82 %-ի սահմաններում, իսկ արածեցված տարածքներում 49-58%, ընդ որում ամենացածր ցուցանիշ գրանցվել է մասամբ դեգրադացված, բնակավայրամերձ հատվածի ցածրադիր արոտատեղամասերում: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Հարկ է նշել, որ բնակավայրամերձ արոտների բուսապատվածության տոկոսի հաշվարկման ժամանակ հաշվի չեն առնվել առկա բուսազուրկ նախրաքաշերը և մերկ արահետները, որոնք զգալի տոկոս են կազմում որոշ արոտավայրերում: ՈՒսումնասիրություններով պարզվել է, որ արածեցված արոտներում մնացորդային չոր բուսազանգվածի կշիռը կազմում է ձևավորվող բերքի շուրջ 1/3-մասը: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կազմը, հաշվարկվել է ընդհանուր բերքատվությունը:</w:t>
      </w:r>
    </w:p>
    <w:p w:rsidR="005757D1" w:rsidRPr="00F93C9E" w:rsidRDefault="005757D1" w:rsidP="005757D1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Աղյուսակ-6</w:t>
      </w:r>
    </w:p>
    <w:p w:rsidR="005757D1" w:rsidRPr="00F93C9E" w:rsidRDefault="005757D1" w:rsidP="005757D1">
      <w:pPr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Խոտհարքների բուսածածկի բուսաբանատնտեսական խմբավորումներն ու արտադրողականությունը</w:t>
      </w:r>
    </w:p>
    <w:tbl>
      <w:tblPr>
        <w:tblW w:w="94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5"/>
        <w:gridCol w:w="1275"/>
        <w:gridCol w:w="1275"/>
        <w:gridCol w:w="1274"/>
        <w:gridCol w:w="1417"/>
        <w:gridCol w:w="1558"/>
        <w:gridCol w:w="1421"/>
      </w:tblGrid>
      <w:tr w:rsidR="005757D1" w:rsidRPr="00F93C9E" w:rsidTr="005757D1">
        <w:trPr>
          <w:cantSplit/>
          <w:trHeight w:val="26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Տարածքը, </w:t>
            </w:r>
          </w:p>
          <w:p w:rsidR="005757D1" w:rsidRPr="00F93C9E" w:rsidRDefault="005757D1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հա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Բուսա-ծածկ, </w:t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Բուսաբանական միջին կազմը, </w:t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ՉԶ-ի միջին բերքը, կգ/հա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Համախառն բերքը, կգ </w:t>
            </w:r>
          </w:p>
        </w:tc>
      </w:tr>
      <w:tr w:rsidR="005757D1" w:rsidRPr="00F93C9E" w:rsidTr="005757D1">
        <w:trPr>
          <w:cantSplit/>
          <w:trHeight w:val="64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Հացազգի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Բակլազգի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Տարախոտ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</w:tr>
      <w:tr w:rsidR="005757D1" w:rsidRPr="00F93C9E" w:rsidTr="005757D1">
        <w:trPr>
          <w:cantSplit/>
          <w:trHeight w:val="417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 =1քմ ՉԶ x 1հա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 = Ա x Զ</w:t>
            </w:r>
          </w:p>
        </w:tc>
      </w:tr>
      <w:tr w:rsidR="005757D1" w:rsidRPr="00F93C9E" w:rsidTr="005757D1">
        <w:trPr>
          <w:cantSplit/>
          <w:trHeight w:val="64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241.09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64.6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23.6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2500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602725</w:t>
            </w:r>
          </w:p>
        </w:tc>
      </w:tr>
    </w:tbl>
    <w:p w:rsidR="005757D1" w:rsidRPr="00F93C9E" w:rsidRDefault="005757D1" w:rsidP="005757D1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– 1հա-ի միջին բերքը հաշվարկվել է հիմնվելով 1քմ հաշվարկային տարածքներից ստացված միջին նմուշի չոր զանգվածի (ՉԶ) կշռին: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6-ում ներկայացված է բնական խոտհարքների միջին բուսապատվածությունը, ձևավորվող բուսածածկերի բուսաբանական միջին կազմը, ինչպես նաև միջին բերքատվությունն ու համախառն բերքը: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Խոտհարքային տարածքներից վերցված բուսածածկի նմուշներում բուսաբանական խմբակցությունների պարզաբանում-հաշվարկով պարզվել է, որ բուսածածկերում բավականին բարձր է տարախոտային տեսակների պարունակությունը (23.6%), որոնց մեջ զգալի է կոպիտ և վատորակ տեսակների քանակությունը, ինչով պայմանավորված խոտի որակը բարձր չէ: Բուսազանգվածում համեմատաբար ցածր է բակլազգիների միջին պարունակությունը (11.8%): Խնդիրը առավելապես պայմանավորված է խոտհարքների անկանոն կառավարմամբ, տարիներ շարունակ նույն ժամկետներում իրականացվող խոտհունձով կրճատվել է սերմերով բազմացող տեսակների ինքնացանությամբ վերարտադրման հնարավորությունը:  Խոտհարքների արտադրողականությունը բարձրացնելու և որակական կազմը բարելավելու համար, անհրաժեշտ է տարբեր խոտհարքաբաժիններում բարձրորակ կերաբույսերի (դաշտավլուկազգի, բակլազգի) հասունացման տարբեր փուլերում հարի ժամկետների սահմանումը խոտհարքաշրջանառության իրականացումով, ապահովելու համար ժամանակ առ ժամանակ կերաբույսերի սերմերի հասունացումն ու  միջավայրում տարածումը: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Բնակավայրի բնական արոտներում և խոտհարքներում գերակշիռ մեծամասնություն կազմում են դաշտավլուկազգի և տարախոտային տեսակները, որպես կանոն բակլազգիները համեմատաբար սակավ են: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Առավել տարածված բույսեր են` Phleum pratense, Poa pratense, Festuca ovina, Festuca pratense, Dactylis glomerata, Lotus corniculatus, Lotus pratense, Thimus, Achillea millefolium </w:t>
      </w:r>
      <w:hyperlink r:id="rId27" w:history="1">
        <w:r w:rsidRPr="00F93C9E">
          <w:rPr>
            <w:rStyle w:val="a3"/>
            <w:rFonts w:ascii="Sylfaen" w:hAnsi="Sylfaen"/>
            <w:bCs w:val="0"/>
            <w:color w:val="auto"/>
            <w:spacing w:val="0"/>
            <w:sz w:val="16"/>
            <w:szCs w:val="16"/>
          </w:rPr>
          <w:t>L.</w:t>
        </w:r>
      </w:hyperlink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, Taraxacum officinale, Astragalus galegiformis, Trifolium medium, Tr. pratense, Tr. repens, O. transcaucasica, Vicia angustifolia, Pyrethhrum myriophyllum, Carduus acanthoides և այլն: Բարձրարժեք բակլազգի տեսակները համեմատաբար սակավ են, մասնավորապես ցածրադիր գոտու դեգրադացված արոտներում: Վերջիններիս առավել տարածվածություն գրանցվել է լեռնանտառայի գոտու անտառամերձ հատվածներում և մերձալպյան  գոտու առավել ցածրադիր արոտներում: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pStyle w:val="2"/>
        <w:spacing w:before="0" w:after="0"/>
        <w:jc w:val="center"/>
        <w:rPr>
          <w:rFonts w:ascii="Sylfaen" w:hAnsi="Sylfaen" w:cs="Sylfaen"/>
          <w:i w:val="0"/>
          <w:color w:val="auto"/>
          <w:sz w:val="16"/>
          <w:szCs w:val="16"/>
          <w:lang w:val="en-US"/>
        </w:rPr>
      </w:pPr>
      <w:bookmarkStart w:id="25" w:name="_Toc17732972"/>
      <w:bookmarkStart w:id="26" w:name="_Toc524700604"/>
      <w:bookmarkStart w:id="27" w:name="_Toc402354613"/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5.2.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Արոտավայրերի</w:t>
      </w:r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կառավարման</w:t>
      </w:r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անասնապահության</w:t>
      </w:r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զարգացման</w:t>
      </w:r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նախադրյալները</w:t>
      </w:r>
      <w:bookmarkEnd w:id="25"/>
      <w:bookmarkEnd w:id="26"/>
      <w:bookmarkEnd w:id="27"/>
    </w:p>
    <w:p w:rsidR="005757D1" w:rsidRPr="00F93C9E" w:rsidRDefault="005757D1" w:rsidP="005757D1">
      <w:pPr>
        <w:rPr>
          <w:sz w:val="16"/>
          <w:szCs w:val="16"/>
          <w:lang w:eastAsia="x-none"/>
        </w:rPr>
      </w:pP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28" w:name="_Toc275304875"/>
      <w:bookmarkStart w:id="29" w:name="_Toc275297860"/>
      <w:bookmarkStart w:id="30" w:name="_Toc275295647"/>
      <w:bookmarkStart w:id="31" w:name="_Toc275133835"/>
      <w:bookmarkStart w:id="32" w:name="_Toc275133472"/>
      <w:bookmarkStart w:id="33" w:name="_Toc275133426"/>
      <w:bookmarkStart w:id="34" w:name="_Toc275133066"/>
      <w:bookmarkStart w:id="35" w:name="_Toc275132918"/>
      <w:bookmarkStart w:id="36" w:name="_Toc275132640"/>
      <w:bookmarkStart w:id="37" w:name="_Toc275132410"/>
      <w:bookmarkStart w:id="38" w:name="_Toc275132145"/>
      <w:bookmarkStart w:id="39" w:name="_Toc275131586"/>
      <w:bookmarkStart w:id="40" w:name="_Toc76376824"/>
      <w:bookmarkStart w:id="41" w:name="_Toc76375841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Բնակավայրամերձ արոտավայրերում, որտեղ աշնանը գրեթե մինչև կայուն ցուրտ եղանակի ձևավորվելը պահվում են արածող կենդանիները, օգտագործվում է կրկնակի անգամ, և որպես կանոն ուշադրություն չի դարձվում բուսածածկի մնացորդային խոզանի պահպանմանը, այսինքն նման տարածքներն գերարածեցվում են նպաստելով բուսածածկի դեգրադացիայի ձևավորման և նրա հետագա խորացմանը: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որակը, նվազում է հանդակի արտադրողականությունը, կրճատվում բուսապատվածությունը և հիմք է ստեղծվում դեգրադացիայի խորանալու և հողերի էրոզիայի համար, մեծանում ընդհանուր կենսաբազմազանության վտանգմանն ուղղված ռիսկերը: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Մոտավորապես այդ իրավիճակն է տիրում բնակավայրին հարակից ուսումնասիրված տարբեր արոտներում և հատկապես լեռնաանտառային գոտում: Այս երևույթի խորացումը կանխելու համար անհրաժեշտ է կիրառել արոտօգտագործման նոր համակարգ, ըստ որի օգտագործվող արոտում բուսածածկի որոշակի մասը պետք է թողնել որպես խոզան, որը սինթեզում է սննդատարրեր, որոնք անհրաժեշտ են խոտաբույսերի հետագա վերաճի և ձմեռային հանգստի համար: Այս գոտու որոշ դեգրադացված արոտատեղեր նպատակահարմար է թողնել հանգստի (առանց արածեցման 1-2 տարի), կիրառել արոտաշրջանառություն, բուսածածկի և բուսաբանական կազմի վերականգման նպատակով: Քանի որ արոտների օգտագործման չափանիշները հիմնվում են բույսերի ֆենոլոգիական փուլերի ուսումնասիրու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թյուն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ների, տեղի կլիմայի և արածեցման նկատմամբ բուսածածկի դիմադրո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ղականության գնահատման վրա, ուստի դիտարկենք արոտային համակեցությունների գոյատևման երեք հիմնական ժամանակահատվածներ, որոնք ուրույն ազդեցություն ունեն բուսածածկի հետագա ձևավորման և արդյունավետության վրա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հետևաբար կարևոր նշանակություն ունեն նաև արոտների ֆունկցիոնալ կայունության պահպանման առումով: </w:t>
      </w:r>
    </w:p>
    <w:p w:rsidR="005757D1" w:rsidRPr="00F93C9E" w:rsidRDefault="005757D1" w:rsidP="005757D1">
      <w:pPr>
        <w:numPr>
          <w:ilvl w:val="0"/>
          <w:numId w:val="4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2" w:name="_Toc76376825"/>
      <w:bookmarkStart w:id="43" w:name="_Toc76375842"/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Աշուն/ձմեռ: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Հանգստի այս փուլում գտնվող միամյա և բազմամյա խոտաբույսերը կարող են բարձր բերք ապահովել, եթե արածեցման ընթացքում բույսերը արմատախիլ  չարվեն կամ ուժեղ տրորման հետևանքով տեղի չունենա հողերի պնդացում և մերկացում: Հիմնականում այս ժամանակահատվածից է կախված հետագա ձևավորվող բուսազանգվածի մինչև 70%-ի ստացումը</w:t>
      </w:r>
      <w:bookmarkEnd w:id="42"/>
      <w:bookmarkEnd w:id="43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:</w:t>
      </w:r>
    </w:p>
    <w:p w:rsidR="005757D1" w:rsidRPr="00F93C9E" w:rsidRDefault="005757D1" w:rsidP="005757D1">
      <w:pPr>
        <w:numPr>
          <w:ilvl w:val="0"/>
          <w:numId w:val="4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4" w:name="_Toc76376826"/>
      <w:bookmarkStart w:id="45" w:name="_Toc76375843"/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Վաղ գարուն: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Ձմեռվա հանգստի շրջանում բույսերը ծախսում են պաշարված սննդանյութերի մեծ մասը: Այս ժամանակահատվածում` զով և խոնավ կլիմայի պայմաններում, խոտաբույսերը սկսում են ինտենսիվորեն աճել և ֆոտոսինթեզի շնորհիվ վերականգնել ածխաջրերի, սպիտակուցների և այլ սննդանյութերի անհրաժեշտ պաշարներ: Սա բույսերի համար զգայուն մի ժամանակաշրջան է և պահանջվում է մշակել արածեցման հատուկ համակարգ: Բացի այդ կարիք կա իրականացնել որոշ ագրոմիջոցառումներ` բույսերի աճը խթանելու նպատակով: Տարվա այս եղանակին արածեցումը չպետք է բերի բերքի (արոտականաչի) 30%-ից ավելի կորստի: Բույսերը այդ ընթացքում կարող են ապահովել ավելի բարձր արդյունավետություն, եթե արգելվի տարածքի վաղ ժամկետներում արածեցումը և կենդանիների մուտքը տվյալ տարածք, քանի դեռ հողի մեջ առկա է խոնավության որոշ պաշարներ, որոնք էլ կարող են ապահովել բույսերի բնականոն վերաճը</w:t>
      </w:r>
      <w:bookmarkEnd w:id="44"/>
      <w:bookmarkEnd w:id="45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</w:t>
      </w:r>
    </w:p>
    <w:p w:rsidR="005757D1" w:rsidRPr="00F93C9E" w:rsidRDefault="005757D1" w:rsidP="005757D1">
      <w:pPr>
        <w:numPr>
          <w:ilvl w:val="0"/>
          <w:numId w:val="4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Ուշ գարուն/ամառ: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Այս էտապում իհարկե խոտի աճը շարունակվում է, սակայն հողի խոնավությունը սկսում է դառնալ հիմնական սահմանափակող գործոն և ջերմաստիճանի հետագա բարձրացումը ստիպում է բույսերին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անցնել պասիվ փուլի: Արոտների թույլատրելի օգտագործման չափանիշը չպետք է իջնի 70%-ի մակարդակից, որպեսզի ապահովված լինի խոտաբույսերի հետագա ահլուկավորման և վերաճելու հնարավորությունները: Այս ժամանակա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հատվածում ձևավորվում է բերքի հիմնական մասը: </w:t>
      </w:r>
    </w:p>
    <w:p w:rsidR="005757D1" w:rsidRPr="00F93C9E" w:rsidRDefault="005757D1" w:rsidP="005757D1">
      <w:pPr>
        <w:spacing w:line="360" w:lineRule="auto"/>
        <w:ind w:left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pStyle w:val="1"/>
        <w:spacing w:before="0" w:after="0" w:line="276" w:lineRule="auto"/>
        <w:jc w:val="center"/>
        <w:rPr>
          <w:rFonts w:ascii="Sylfaen" w:hAnsi="Sylfaen" w:cs="Sylfaen"/>
          <w:sz w:val="16"/>
          <w:szCs w:val="16"/>
        </w:rPr>
      </w:pPr>
      <w:bookmarkStart w:id="46" w:name="_Toc17732973"/>
      <w:bookmarkStart w:id="47" w:name="_Toc524700605"/>
      <w:bookmarkStart w:id="48" w:name="_Toc402354614"/>
      <w:r w:rsidRPr="00F93C9E">
        <w:rPr>
          <w:rFonts w:ascii="Sylfaen" w:hAnsi="Sylfaen"/>
          <w:sz w:val="16"/>
          <w:szCs w:val="16"/>
        </w:rPr>
        <w:t xml:space="preserve">6. </w:t>
      </w:r>
      <w:r w:rsidRPr="00F93C9E">
        <w:rPr>
          <w:rFonts w:ascii="Sylfaen" w:hAnsi="Sylfaen" w:cs="Sylfaen"/>
          <w:sz w:val="16"/>
          <w:szCs w:val="16"/>
        </w:rPr>
        <w:t>Չոր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կենսազանգվածի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կուտակման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հնարավորությունն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ըստ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բնակլիմայական</w:t>
      </w:r>
      <w:r w:rsidRPr="00F93C9E">
        <w:rPr>
          <w:rFonts w:ascii="Sylfaen" w:hAnsi="Sylfaen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գոտիների</w:t>
      </w:r>
      <w:bookmarkEnd w:id="46"/>
      <w:bookmarkEnd w:id="47"/>
      <w:bookmarkEnd w:id="48"/>
    </w:p>
    <w:p w:rsidR="005757D1" w:rsidRPr="00F93C9E" w:rsidRDefault="005757D1" w:rsidP="005757D1">
      <w:pPr>
        <w:rPr>
          <w:sz w:val="16"/>
          <w:szCs w:val="16"/>
        </w:rPr>
      </w:pP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Խոզանի բարձրության հաշվարկ: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Ուսումնասիրությունների հիմնական խնդիրներից է եղել պարզել բնակավայրի վարչական տարածքում հաշվառված կերահանդակների պոտենցիալ հնարավո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րությունը (արածեցման սխեմաներ մշակելու համար), հաշվի առնելով մի շարք գործոններ, այդ թվում նաև խոզանի բարձրությունը (աղ.7):    </w:t>
      </w:r>
    </w:p>
    <w:p w:rsidR="005757D1" w:rsidRPr="00F93C9E" w:rsidRDefault="005757D1" w:rsidP="005757D1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Աղյուսակ 7 </w:t>
      </w: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color w:val="auto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Գողթանիկ բնակավայրի արոտավայրերի խոզանի բարձրությունն ըստ գոտիների</w:t>
      </w:r>
    </w:p>
    <w:tbl>
      <w:tblPr>
        <w:tblW w:w="0" w:type="auto"/>
        <w:jc w:val="center"/>
        <w:tblInd w:w="-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6"/>
        <w:gridCol w:w="4222"/>
      </w:tblGrid>
      <w:tr w:rsidR="005757D1" w:rsidRPr="00F93C9E" w:rsidTr="005757D1">
        <w:trPr>
          <w:cantSplit/>
          <w:trHeight w:val="56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Խոզանի   բարձրությունը,  սմ</w:t>
            </w:r>
          </w:p>
        </w:tc>
      </w:tr>
      <w:tr w:rsidR="005757D1" w:rsidRPr="00F93C9E" w:rsidTr="005757D1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Տափաստանային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5757D1" w:rsidRPr="00F93C9E" w:rsidTr="005757D1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5757D1" w:rsidRPr="00F93C9E" w:rsidTr="005757D1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8-10</w:t>
            </w:r>
          </w:p>
        </w:tc>
      </w:tr>
    </w:tbl>
    <w:p w:rsidR="005757D1" w:rsidRPr="00F93C9E" w:rsidRDefault="005757D1" w:rsidP="005757D1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«Արոտների և խոտհարքների օգտագործման կարգի» վերաբերյալ ՀՀ Կառավարության 2011թ № 389-ն որոշման համաձայն, կենդանիների արածեցումը պետք է սկսել գարնանը, բույսերի վերաճը սկսելուց 15-18 օր հետո և երբ բույսերի բարձրությունը հողի մակերեսից կազմում է` </w:t>
      </w:r>
    </w:p>
    <w:p w:rsidR="005757D1" w:rsidRPr="00F93C9E" w:rsidRDefault="005757D1" w:rsidP="005757D1">
      <w:pPr>
        <w:numPr>
          <w:ilvl w:val="0"/>
          <w:numId w:val="6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Տափաստանային գոտում  10 -12սմ,</w:t>
      </w:r>
    </w:p>
    <w:p w:rsidR="005757D1" w:rsidRPr="00F93C9E" w:rsidRDefault="005757D1" w:rsidP="005757D1">
      <w:pPr>
        <w:numPr>
          <w:ilvl w:val="0"/>
          <w:numId w:val="6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 գոտում         10-12սմ,</w:t>
      </w:r>
    </w:p>
    <w:p w:rsidR="005757D1" w:rsidRPr="00F93C9E" w:rsidRDefault="005757D1" w:rsidP="005757D1">
      <w:pPr>
        <w:numPr>
          <w:ilvl w:val="0"/>
          <w:numId w:val="6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Ալպյան  գոտում                 8-10սմ:</w:t>
      </w:r>
    </w:p>
    <w:p w:rsidR="005757D1" w:rsidRPr="00F93C9E" w:rsidRDefault="005757D1" w:rsidP="005757D1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Ելնելով այս հանգամանքից, ինչպես նաև Գողթանիկ բնակավայրի վարչական տարածքի լանդշաֆտային գոտիականության առանձնահատկություններից, առաջարկվում է գարնանային արածեցումը սկսել տափաստանային  և մերձալպյան գոտիներում 10 սմ իսկ ալպյան  գոտում 8-10 սմ խոտածածկի բարձրության առկայության պայմաններում: Հաշվի առնելով հողակլիմայական և լանդշաֆտային առանձնահատկությունները առաջարկում ենք օգտագործել աղյուսակ 7-ում բերված տվյալները: </w:t>
      </w:r>
      <w:bookmarkStart w:id="49" w:name="_Toc402354615"/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pStyle w:val="2"/>
        <w:spacing w:before="0" w:after="0"/>
        <w:jc w:val="center"/>
        <w:rPr>
          <w:rFonts w:ascii="Sylfaen" w:hAnsi="Sylfaen" w:cs="Cambria"/>
          <w:i w:val="0"/>
          <w:color w:val="auto"/>
          <w:sz w:val="16"/>
          <w:szCs w:val="16"/>
          <w:lang w:val="en-US"/>
        </w:rPr>
      </w:pPr>
      <w:bookmarkStart w:id="50" w:name="_Toc17732974"/>
      <w:bookmarkStart w:id="51" w:name="_Toc524700606"/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6.1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Բնակավայրի</w:t>
      </w:r>
      <w:r w:rsidRPr="00F93C9E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կերահանդակներից</w:t>
      </w:r>
      <w:r w:rsidRPr="00F93C9E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F93C9E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այլընտրանքային</w:t>
      </w:r>
      <w:r w:rsidRPr="00F93C9E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կերապահովմանտարածքներից</w:t>
      </w:r>
      <w:r w:rsidRPr="00F93C9E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ստացվող</w:t>
      </w:r>
      <w:r w:rsidRPr="00F93C9E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չոր</w:t>
      </w:r>
      <w:r w:rsidRPr="00F93C9E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զանգվածի</w:t>
      </w:r>
      <w:bookmarkStart w:id="52" w:name="_Toc402354616"/>
      <w:bookmarkEnd w:id="49"/>
      <w:bookmarkEnd w:id="50"/>
    </w:p>
    <w:p w:rsidR="005757D1" w:rsidRPr="00F93C9E" w:rsidRDefault="005757D1" w:rsidP="005757D1">
      <w:pPr>
        <w:pStyle w:val="2"/>
        <w:spacing w:before="0" w:after="0"/>
        <w:jc w:val="center"/>
        <w:rPr>
          <w:rFonts w:ascii="Sylfaen" w:hAnsi="Sylfaen"/>
          <w:i w:val="0"/>
          <w:color w:val="auto"/>
          <w:sz w:val="16"/>
          <w:szCs w:val="16"/>
        </w:rPr>
      </w:pPr>
      <w:bookmarkStart w:id="53" w:name="_Toc17732975"/>
      <w:r w:rsidRPr="00F93C9E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F93C9E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արածեցման</w:t>
      </w:r>
      <w:r w:rsidRPr="00F93C9E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օրերի</w:t>
      </w:r>
      <w:r w:rsidRPr="00F93C9E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93C9E">
        <w:rPr>
          <w:rFonts w:ascii="Sylfaen" w:hAnsi="Sylfaen" w:cs="Sylfaen"/>
          <w:i w:val="0"/>
          <w:color w:val="auto"/>
          <w:sz w:val="16"/>
          <w:szCs w:val="16"/>
        </w:rPr>
        <w:t>քանակը</w:t>
      </w:r>
      <w:bookmarkEnd w:id="51"/>
      <w:bookmarkEnd w:id="52"/>
      <w:bookmarkEnd w:id="53"/>
    </w:p>
    <w:p w:rsidR="005757D1" w:rsidRPr="00F93C9E" w:rsidRDefault="005757D1" w:rsidP="005757D1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8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4" w:name="RANGE!A29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Արոտավայրերի արտադրողականությունը և առավելագույն արածեցման օրերը  </w:t>
      </w:r>
      <w:bookmarkEnd w:id="54"/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2"/>
        <w:gridCol w:w="1134"/>
        <w:gridCol w:w="850"/>
        <w:gridCol w:w="1418"/>
        <w:gridCol w:w="1841"/>
        <w:gridCol w:w="1560"/>
      </w:tblGrid>
      <w:tr w:rsidR="005757D1" w:rsidRPr="00F93C9E" w:rsidTr="005757D1">
        <w:trPr>
          <w:trHeight w:val="7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Տարածք, հա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ՉԶ, կգ/հա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 ՉԶ, կգ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Հաստատագրված 70% օգտագործում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Արածեցման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օրեր**</w:t>
            </w:r>
          </w:p>
        </w:tc>
      </w:tr>
      <w:tr w:rsidR="005757D1" w:rsidRPr="00F93C9E" w:rsidTr="005757D1">
        <w:trPr>
          <w:trHeight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Դ=Բ x 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Ե=Դ x 70%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Զ=Ե/2286.8 կգ/օր</w:t>
            </w:r>
          </w:p>
        </w:tc>
      </w:tr>
      <w:tr w:rsidR="005757D1" w:rsidRPr="00F93C9E" w:rsidTr="005757D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Տափաստանային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208.82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304877.2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213414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93</w:t>
            </w:r>
          </w:p>
        </w:tc>
      </w:tr>
      <w:tr w:rsidR="005757D1" w:rsidRPr="00F93C9E" w:rsidTr="005757D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296.68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498422.4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348895.6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152</w:t>
            </w:r>
          </w:p>
        </w:tc>
      </w:tr>
      <w:tr w:rsidR="005757D1" w:rsidRPr="00F93C9E" w:rsidTr="005757D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2188.12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3544754.4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2481328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1085</w:t>
            </w:r>
          </w:p>
        </w:tc>
      </w:tr>
      <w:tr w:rsidR="005757D1" w:rsidRPr="00F93C9E" w:rsidTr="005757D1">
        <w:trPr>
          <w:trHeight w:val="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2693.89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4348054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3043637.6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1330</w:t>
            </w:r>
          </w:p>
        </w:tc>
      </w:tr>
    </w:tbl>
    <w:p w:rsidR="005757D1" w:rsidRPr="00F93C9E" w:rsidRDefault="005757D1" w:rsidP="005757D1">
      <w:pPr>
        <w:spacing w:line="360" w:lineRule="auto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լանդշաֆտային գոտիներում արոտների բերքատվությունն ու արոտօգտագործման օրերի քանակը հաշվարկվում է հետևյալ բանաձևով`  </w:t>
      </w:r>
    </w:p>
    <w:p w:rsidR="005757D1" w:rsidRPr="00F93C9E" w:rsidRDefault="005757D1" w:rsidP="005757D1">
      <w:pPr>
        <w:spacing w:line="360" w:lineRule="auto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**Արածեցման օրեր = Արոտային տարածք x միջին բերքատվություն x 70% /անասնագլխի օրեկան կերի պահանջ (2286.8):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Աղյուսակ 8-ում ամփոփված են արոտավայրերի բերքատվությունն ու կենդանիների համար խոտի ներկայիս հասանելիությունն` ըստ հաստատագրված 70% օգտագործման ցուցանիշի: Ինչպես երևում է ամենաբարձր արտադրողականություն 1 հա-ի հաշվով ձևավորվել է մերձալպյան գոտու արոտավայրերից: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 ուսումնասիրությունները ցույց են տվել նաև, որ ըստ արոտների հաստատագրված օգտագործման ցուցանիշի (70 %), ձևավորվող չոր զանգվածի քանակությունը առկա անասնագլխի համար կարող է ապահովել շուրջ 1330 օրերի համար արոտային կեր, ինչը  5 և ավել անգամ ավելի բարձր ցուցանիշ է համեմատած բնակավայրի պայմաններում ՊԽՄ-ի արոտային շրջանի համար հաշվարկած արածեցման օրերի պահանջը: Լրացուցիչ կերային զգալի պաշար պարունակում են նաև վարելահողերի և բնական խոտհարքների ազատված տարածքները (խոտհունձից հետո) վերաճած ահլուկի տեսքով, ինչպես նաև այլ հողատեսքերի բուսածածկը (աղյուսակ 9), որոնց հիման վրա որպես այլ  ընտրանք հնարավոր է մինչև 366 օր կերակրել համայնքի ամբողջ անասնագլխին: Այլընտրանքային կերապահովման տարածքներն հիմնականում օգտագործվում են վաղ գարնանային և ուշ ամառային շրջանում, ինչպես նաև աշնանը մսուրային շրջանից առաջ:                                                                                            </w:t>
      </w:r>
    </w:p>
    <w:p w:rsidR="005757D1" w:rsidRPr="00F93C9E" w:rsidRDefault="005757D1" w:rsidP="005757D1">
      <w:pPr>
        <w:spacing w:line="360" w:lineRule="auto"/>
        <w:ind w:firstLine="720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9</w:t>
      </w:r>
    </w:p>
    <w:p w:rsidR="005757D1" w:rsidRPr="00F93C9E" w:rsidRDefault="005757D1" w:rsidP="005757D1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5" w:name="RANGE!A36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Վարելահողերից և այլ հողատեսքերից ակնկալվող կերի քանակը և առավելագույն արածեցման օրեր</w:t>
      </w:r>
      <w:bookmarkEnd w:id="55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ը</w:t>
      </w:r>
    </w:p>
    <w:tbl>
      <w:tblPr>
        <w:tblW w:w="95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1276"/>
        <w:gridCol w:w="1417"/>
        <w:gridCol w:w="1843"/>
        <w:gridCol w:w="2594"/>
      </w:tblGrid>
      <w:tr w:rsidR="005757D1" w:rsidRPr="00F93C9E" w:rsidTr="005757D1">
        <w:trPr>
          <w:cantSplit/>
          <w:trHeight w:val="217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Տեղանք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Տարածք,</w:t>
            </w:r>
          </w:p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հա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ՉԶ բերք, կգ/հա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Ընդամենը ՉԶ, կգ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Արածեցման օրեր</w:t>
            </w:r>
          </w:p>
        </w:tc>
      </w:tr>
      <w:tr w:rsidR="005757D1" w:rsidRPr="00F93C9E" w:rsidTr="005757D1">
        <w:trPr>
          <w:cantSplit/>
          <w:trHeight w:val="9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               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 = Բ x Գ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 = Դ / 2286.8 կգ/օր</w:t>
            </w:r>
          </w:p>
        </w:tc>
      </w:tr>
      <w:tr w:rsidR="005757D1" w:rsidRPr="00F93C9E" w:rsidTr="005757D1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Վարելահող+ խոտ-       </w:t>
            </w:r>
          </w:p>
          <w:p w:rsidR="005757D1" w:rsidRPr="00F93C9E" w:rsidRDefault="005757D1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հարքների  խոզան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538.48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215392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94</w:t>
            </w:r>
          </w:p>
        </w:tc>
      </w:tr>
      <w:tr w:rsidR="005757D1" w:rsidRPr="00F93C9E" w:rsidTr="005757D1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Այլ հողատեսքերի       բուսածածկ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1527.52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1374768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601</w:t>
            </w:r>
          </w:p>
        </w:tc>
      </w:tr>
      <w:tr w:rsidR="005757D1" w:rsidRPr="00F93C9E" w:rsidTr="005757D1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2066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1590160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695</w:t>
            </w:r>
          </w:p>
        </w:tc>
      </w:tr>
    </w:tbl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առկա արոտավայրերից և այլ ընտրանքային արոտատեղերից (աղյուսակներ- 8; 9) ձևավորվող արոտակերը կարող է բավարարել առկա անասնագլխի արոտակերի պահանջը 1330+695=2025 օր:</w:t>
      </w:r>
      <w:r w:rsidRPr="00F93C9E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Արոտավայրերից ձևավորվող (70% թույլատրելի օգտագործումով) ընդհանուր չոր զանգվածի  (3043637.6 կգ), ինչպես նաև արոտակերի ապահովման այլընտրանքային կերապահովման տարածքներից (1590160 կգ) ձևավորվող համախառն կերային պաշարների և առկա անասնագլխին  արոտային ժամանակահատվածում անհրաժեշտ  (447591 կգ) արոտակերի պահանջի համադրումից պարզ է դառնում, որ ձևավորվող արոտակերը  կարող է բավարարել առկա անասնագլխի արոտային շրջանում անհրաժեշտ կերի պահանջը 5 և ավել անգամ 1035 %-ով: </w:t>
      </w:r>
      <w:bookmarkStart w:id="56" w:name="_Toc524700607"/>
      <w:bookmarkStart w:id="57" w:name="_Toc402354617"/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sz w:val="16"/>
          <w:szCs w:val="16"/>
        </w:rPr>
        <w:t xml:space="preserve"> </w:t>
      </w:r>
      <w:r w:rsidRPr="00F93C9E">
        <w:rPr>
          <w:rFonts w:ascii="Sylfaen" w:hAnsi="Sylfaen"/>
          <w:b/>
          <w:sz w:val="16"/>
          <w:szCs w:val="16"/>
        </w:rPr>
        <w:t xml:space="preserve">6.2. </w:t>
      </w:r>
      <w:r w:rsidRPr="00F93C9E">
        <w:rPr>
          <w:rFonts w:ascii="Sylfaen" w:hAnsi="Sylfaen" w:cs="Sylfaen"/>
          <w:b/>
          <w:sz w:val="16"/>
          <w:szCs w:val="16"/>
        </w:rPr>
        <w:t>Կենդանիների</w:t>
      </w:r>
      <w:r w:rsidRPr="00F93C9E">
        <w:rPr>
          <w:rFonts w:ascii="Sylfaen" w:hAnsi="Sylfaen"/>
          <w:b/>
          <w:sz w:val="16"/>
          <w:szCs w:val="16"/>
        </w:rPr>
        <w:t xml:space="preserve"> </w:t>
      </w:r>
      <w:r w:rsidRPr="00F93C9E">
        <w:rPr>
          <w:rFonts w:ascii="Sylfaen" w:hAnsi="Sylfaen" w:cs="Sylfaen"/>
          <w:b/>
          <w:sz w:val="16"/>
          <w:szCs w:val="16"/>
        </w:rPr>
        <w:t>կերակրման</w:t>
      </w:r>
      <w:r w:rsidRPr="00F93C9E">
        <w:rPr>
          <w:rFonts w:ascii="Sylfaen" w:hAnsi="Sylfaen"/>
          <w:b/>
          <w:sz w:val="16"/>
          <w:szCs w:val="16"/>
        </w:rPr>
        <w:t xml:space="preserve"> </w:t>
      </w:r>
      <w:r w:rsidRPr="00F93C9E">
        <w:rPr>
          <w:rFonts w:ascii="Sylfaen" w:hAnsi="Sylfaen" w:cs="Sylfaen"/>
          <w:b/>
          <w:sz w:val="16"/>
          <w:szCs w:val="16"/>
        </w:rPr>
        <w:t>և</w:t>
      </w:r>
      <w:r w:rsidRPr="00F93C9E">
        <w:rPr>
          <w:rFonts w:ascii="Sylfaen" w:hAnsi="Sylfaen"/>
          <w:b/>
          <w:sz w:val="16"/>
          <w:szCs w:val="16"/>
        </w:rPr>
        <w:t xml:space="preserve"> </w:t>
      </w:r>
      <w:r w:rsidRPr="00F93C9E">
        <w:rPr>
          <w:rFonts w:ascii="Sylfaen" w:hAnsi="Sylfaen" w:cs="Sylfaen"/>
          <w:b/>
          <w:sz w:val="16"/>
          <w:szCs w:val="16"/>
        </w:rPr>
        <w:t>կերերի</w:t>
      </w:r>
      <w:r w:rsidRPr="00F93C9E">
        <w:rPr>
          <w:rFonts w:ascii="Sylfaen" w:hAnsi="Sylfaen"/>
          <w:b/>
          <w:sz w:val="16"/>
          <w:szCs w:val="16"/>
        </w:rPr>
        <w:t xml:space="preserve"> </w:t>
      </w:r>
      <w:r w:rsidRPr="00F93C9E">
        <w:rPr>
          <w:rFonts w:ascii="Sylfaen" w:hAnsi="Sylfaen" w:cs="Sylfaen"/>
          <w:b/>
          <w:sz w:val="16"/>
          <w:szCs w:val="16"/>
        </w:rPr>
        <w:t>հաշվեկշիռ</w:t>
      </w:r>
      <w:bookmarkEnd w:id="56"/>
      <w:bookmarkEnd w:id="57"/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10-ում ներկայացված են Գողթանիկ բնակավայրում հաշվառված անասնագլխի 1 տարվա կերային ռեսուրսները, արոտային և մսուրային շրջաններում առկա անասնագլխի արոտակերի և խոտի պահանջի ապահովածությունը: </w:t>
      </w:r>
    </w:p>
    <w:p w:rsidR="005757D1" w:rsidRPr="00F93C9E" w:rsidRDefault="005757D1" w:rsidP="005757D1">
      <w:pPr>
        <w:spacing w:line="360" w:lineRule="auto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Աղյուսակ 10            </w:t>
      </w: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bCs w:val="0"/>
          <w:color w:val="FF0000"/>
          <w:spacing w:val="0"/>
          <w:sz w:val="16"/>
          <w:szCs w:val="16"/>
          <w:highlight w:val="yellow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Արոտային և մսուրային շրջանների կերերով </w:t>
      </w:r>
      <w:r w:rsidRPr="00F93C9E">
        <w:rPr>
          <w:rFonts w:ascii="Sylfaen" w:hAnsi="Sylfaen"/>
          <w:bCs w:val="0"/>
          <w:color w:val="auto"/>
          <w:sz w:val="16"/>
          <w:szCs w:val="16"/>
        </w:rPr>
        <w:t>(</w:t>
      </w:r>
      <w:r w:rsidRPr="00F93C9E">
        <w:rPr>
          <w:rFonts w:ascii="Sylfaen" w:eastAsia="Times New Roman" w:hAnsi="Sylfaen" w:cs="Arial"/>
          <w:bCs w:val="0"/>
          <w:color w:val="auto"/>
          <w:spacing w:val="0"/>
          <w:sz w:val="16"/>
          <w:szCs w:val="16"/>
          <w:lang w:eastAsia="ru-RU" w:bidi="he-IL"/>
        </w:rPr>
        <w:t>ՉԶ</w:t>
      </w:r>
      <w:r w:rsidRPr="00F93C9E">
        <w:rPr>
          <w:rFonts w:ascii="Sylfaen" w:hAnsi="Sylfaen"/>
          <w:bCs w:val="0"/>
          <w:color w:val="auto"/>
          <w:sz w:val="16"/>
          <w:szCs w:val="16"/>
        </w:rPr>
        <w:t>)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ապահովածությունը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1700"/>
        <w:gridCol w:w="1418"/>
        <w:gridCol w:w="1417"/>
        <w:gridCol w:w="1842"/>
        <w:gridCol w:w="1558"/>
        <w:gridCol w:w="1233"/>
        <w:gridCol w:w="327"/>
      </w:tblGrid>
      <w:tr w:rsidR="005757D1" w:rsidRPr="00F93C9E" w:rsidTr="005757D1">
        <w:trPr>
          <w:trHeight w:val="339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Արոտային շրջան,</w:t>
            </w:r>
          </w:p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ԽԵԿ-195 օր, ՄԵԿ-270 օր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Մսուրային շրջան,</w:t>
            </w:r>
          </w:p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ԽԵԿ-170 օր, ՄԵԿ-95 օր</w:t>
            </w:r>
          </w:p>
        </w:tc>
      </w:tr>
      <w:tr w:rsidR="005757D1" w:rsidRPr="00F93C9E" w:rsidTr="005757D1">
        <w:trPr>
          <w:trHeight w:val="6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Պահանջվող  կերեր, 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Առկա կերեր, 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Ապահովա</w:t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ծություն,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Պահանջվող</w:t>
            </w:r>
          </w:p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կերեր, (խոտ) 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Առկա կերեր, (խոտ) տ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Ապահովա</w:t>
            </w: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ծություն,%</w:t>
            </w:r>
          </w:p>
        </w:tc>
      </w:tr>
      <w:tr w:rsidR="005757D1" w:rsidRPr="00F93C9E" w:rsidTr="005757D1">
        <w:trPr>
          <w:trHeight w:val="56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Տես գլուխ 3.1, 6.1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Տես աղ. 3; 13</w:t>
            </w:r>
          </w:p>
        </w:tc>
      </w:tr>
      <w:tr w:rsidR="005757D1" w:rsidRPr="00F93C9E" w:rsidTr="005757D1">
        <w:trPr>
          <w:trHeight w:val="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447.5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4633.8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1035.4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388.3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957.1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246.4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57D1" w:rsidRPr="00F93C9E" w:rsidRDefault="005757D1">
            <w:pPr>
              <w:spacing w:line="276" w:lineRule="auto"/>
              <w:rPr>
                <w:rFonts w:ascii="Sylfaen" w:hAnsi="Sylfaen"/>
                <w:color w:val="FF0000"/>
                <w:sz w:val="16"/>
                <w:szCs w:val="16"/>
                <w:highlight w:val="yellow"/>
              </w:rPr>
            </w:pPr>
          </w:p>
        </w:tc>
      </w:tr>
    </w:tbl>
    <w:p w:rsidR="005757D1" w:rsidRPr="00F93C9E" w:rsidRDefault="005757D1" w:rsidP="005757D1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Ծանոթություն – ԽԵԿ- խոշոր եղջերավոր կենդանի, ՄԵԿ- մանր եղջերավոր կենդանի: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Տվյալները ցույց են տալիս (աղ.10), որ լանդշաֆտային գոտիների արոտներում (70% թույլատրելի օգտագործմամբ),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և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այլընտրանքային արոտակերի ապահովման տարածքներում միասին հաշվառված (աղ.8+9) ձևավորվող արոտակերը կարող է բավարարել առկա անասնագլխաքանակին անհրաժեշտ արոտակերի պահանջը հինգ և ավել անգամ` 1035.4%-ով: Մսուրային շրջանի համար բնակավայրի պայմաններում կուտակվող խոտը բավարարում է ընդհանուր պահանջարկը</w:t>
      </w:r>
      <w:r w:rsidRPr="00F93C9E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246.4 %-ով:</w:t>
      </w:r>
      <w:r w:rsidRPr="00F93C9E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Հիմնվելով բնակավայրի պայմաններում արոտային, ինչպես նաև մսուրային ժամանակահատվածներում ձևավորվող և կուտակվող արոտակերի ու խոտի տվյալներին, ինչպես նաև կերարտադրության հնարավորություններին և առկա անասնագլխի կերի պահանջին, պարզվում է, որ բնակավայրի պայմաններում առկա է բավարար պայմաններ որակյալ կերերի արտադրություն կազմակերպելու և հիմնավոր նախադրյալներ անասնագլխի կերապահովումով մթերատվության ցուցանիշներն ավելացնելու համար: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</w:p>
    <w:p w:rsidR="005757D1" w:rsidRPr="00F93C9E" w:rsidRDefault="005757D1" w:rsidP="005757D1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58" w:name="_Toc17732976"/>
      <w:bookmarkStart w:id="59" w:name="_Toc524700608"/>
      <w:bookmarkStart w:id="60" w:name="_Toc402354618"/>
      <w:r w:rsidRPr="00F93C9E">
        <w:rPr>
          <w:rFonts w:ascii="Sylfaen" w:hAnsi="Sylfaen"/>
          <w:sz w:val="16"/>
          <w:szCs w:val="16"/>
        </w:rPr>
        <w:t xml:space="preserve">7. </w:t>
      </w:r>
      <w:r w:rsidRPr="00F93C9E">
        <w:rPr>
          <w:rFonts w:ascii="Sylfaen" w:hAnsi="Sylfaen" w:cs="Sylfaen"/>
          <w:sz w:val="16"/>
          <w:szCs w:val="16"/>
        </w:rPr>
        <w:t>Խոշոր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և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մանր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եղջերավոր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կենդանիների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արածեցման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համակարգ</w:t>
      </w:r>
      <w:bookmarkEnd w:id="58"/>
      <w:bookmarkEnd w:id="59"/>
      <w:bookmarkEnd w:id="60"/>
    </w:p>
    <w:p w:rsidR="005757D1" w:rsidRPr="00F93C9E" w:rsidRDefault="005757D1" w:rsidP="005757D1">
      <w:pPr>
        <w:rPr>
          <w:sz w:val="16"/>
          <w:szCs w:val="16"/>
        </w:rPr>
      </w:pP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Գողթանիկ բնակավայրի արոտների օգտագործման (արածեցման) համակարգը ներկայացված է աղյուսակ 14-ում (ա, բ):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մինչ այժմ կանոնակարգված արոտօգտագործման համակարգ գոյություն չի ունեցել, արոտային շրջանի կազմակերպումն ու արոտօգտագործումն իրականացվել է տարերայնորեն, այդ է հիմնական պատճառը, որ զգալի տարածքով արոտները համայնքամերձ հատվածներում գտնվում են վատթար վիճակում, հիմնականում գերօգտագործված և մասամբ դեգրադացված են, բուսածածկում գերակշռում են ցածրարժեք տարախոտային բուսատեսակներ: Խնդրի խորացմանը նպաստել է նաև զգալի տարածքներով արոտավայրերում գյուղատնտեսական կենդանիներին անհրաժեշտ խմելաջրի պակասը կամ բացակայությունը, ինչով և պայմանավորված արոտավայրերը օգտագործվել են անհավասարաչափ, հաշվի չի առնվել արոտատեղամասերում նաև անասնագլխով թույլատրելի բեռնավորման նորմը (ԱԹԲ):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արոտավայրերի տեղաբաշխվածությունը և կենսակլիմայական պայմանները ապահովում են արոտային շրջանը գարնանը սկսել ապրիլի երրորդ տասնօրյակից (ԽԵԿ-ի համար), մարտի երկրորդ տասնօրյակում (ՄԵԿ-ի համար), ցածրադիր հատվածների արոտատեղամասերից: Ուշ գարնանը նախիրներն ու հոտերը տեղափոխվում են լեռնատափաստանային գոտու առավելապես բարձրադիր հատվածների արոտատեղամասեր մինչև սեպտեմբերի երրորդ տասնօրյակը, որից հետո մինչև մսուրային շրջանին անցնելը, արոտակերի ապահովման համար տեղափոխվում են բնակավայրամերձ արոտներ և այլընտրանքային կերապահովման տարածքներ, օգտագործելով նաև հնձված խոտհարքների և վարելահողերի մնացորդային խոզանն ու վերաճած ահլուկը, ինչպես նաև գործառնական նշանակությամբ այլ հողատեսքերի բուսածածկը: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Բնակավայրի պայմաններում թույլատրելի բեռնավորմամբ արոտների կայուն կառավարումը պայմանավորվում է նաև           արոտավայրերում անհրաժեշտ ենթակառուցվածքների ձևավորումով, մասնավորապես նոր ջրելատեղերի կառուցմամբ և քայքայված ջրելատեղերի վերակառուցմամբ ՊԽՄ-ի խմելաջրի ապահովումը արոտատեղամասերում, ձևավորելու է հնարավորություններ կայուն կառավարման (արոտօգտագործման) կարգեր կիրառելու և արոտավայրերը հավասարաչափ օգտագործելու համար: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Թույլատրելի բեռնավորմամբ հերթափոխային (արոտաբաժնային) արածեցման համակարգի կիրառման և արոտաշրջանառության իրականացումով, ժամանակի ընթացքում կբարձրանա բնակավայրամերձ մասամբ դեգրադացված արոտատեղամասերի արդյունավետությունը և բուսածածկի կերային արժեքը,  աստիճանաբար նպաստելով գերօգտագործված և կազմալուծված արոտների վերականգնմանը, կանխելով հողերի էրոզացման հնարավոր գործընթացը և արոտների հետագա հնարավոր դեգրադացումը, ինչը ակնհայտ է նման ռելիեֆային գոտիներում: Առավել արդյունավետ է օգտագործվելու բնական արոտների բուսածածկը, ապահովելով արոտային շրջանի կերապահովման խնդրի լուծմամբ գյուղ.կենդանիների մթերատվության ցուցանիշ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բարձրացումը: Վերջինովս էլ պայմանավորվում է ֆերմերային տնտեսություն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եկամուտների աճն ու կենսամակարդակի բարձրացումը: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Աղյուսակ 14-ում (ա, բ) ներկայացված համակարգը ներառում է ԽԵԿ նախիրների և ՄԵԿ հոտերի արոտօգտագործման սխեմաները: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Արածեցման համակարգի մշակման համար հիմք է ընդունվել Գողթանիկ բնակավայրում խոշոր և մանր եղջերավոր անասունների պայմանական գլխաքանակը (</w:t>
      </w: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ՊԳ,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աղ.11), որի հաշվարկման համար համապատասխան գործող փոխակերպման գործակիցներով համայնքի ողջ անասնագլխաքանակը (արոտից օգտվող) վերածել ենք պայմանական խոշոր միավորի (ՊԳ): Որպես պայմանական խոշոր միավոր (1 ՊԳ) ընդունված է 400կգ կշիռ ունեցող խոշոր եղջերավոր անասունը (կովը): Այս համակարգի մշակման համար կարևոր նշանակություն ունի նաև նախիրների և հոտերի քանակը (աղ. 12): Մեկ պայմանական գլխի (</w:t>
      </w: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ՊԳ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 օրվա արածեցման հաշվարկը որոշվում է մեկ օրվա համար 400կգ մարմնի քաշ ունեցող կովին անհրաժեշտ չոր կերի քանակով (10 կգ):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Արոտատեղամասերում արոտօգտագործման օրերի քանակը հաշվարկվում է հետևյալ բանաձևով` </w:t>
      </w: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Արոտային տարածք x միջին բերքատվություն x 70% /ՊԳ-ի օրեկան կերի պահանջ (կգ)/ նախիրի գլխաքանակ (ՊԳ):</w:t>
      </w:r>
      <w:proofErr w:type="gramEnd"/>
    </w:p>
    <w:p w:rsidR="005757D1" w:rsidRPr="00F93C9E" w:rsidRDefault="005757D1" w:rsidP="005757D1">
      <w:pPr>
        <w:spacing w:line="360" w:lineRule="auto"/>
        <w:ind w:firstLine="567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11</w:t>
      </w:r>
    </w:p>
    <w:p w:rsidR="005757D1" w:rsidRPr="00F93C9E" w:rsidRDefault="005757D1" w:rsidP="005757D1">
      <w:pPr>
        <w:spacing w:line="360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ԽԵԿ և ՄԵԿ պայմանական գլխաքանակի (ՊԳ) հաշվարկ</w:t>
      </w:r>
    </w:p>
    <w:tbl>
      <w:tblPr>
        <w:tblW w:w="0" w:type="auto"/>
        <w:jc w:val="center"/>
        <w:tblInd w:w="-1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1754"/>
        <w:gridCol w:w="2363"/>
        <w:gridCol w:w="2134"/>
      </w:tblGrid>
      <w:tr w:rsidR="005757D1" w:rsidRPr="00F93C9E" w:rsidTr="005757D1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Փոխակերպման գործակից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Պայմանական գլուխ</w:t>
            </w:r>
          </w:p>
        </w:tc>
      </w:tr>
      <w:tr w:rsidR="005757D1" w:rsidRPr="00F93C9E" w:rsidTr="005757D1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Հասուն ԽԵԿ (կովեր)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102</w:t>
            </w:r>
          </w:p>
        </w:tc>
      </w:tr>
      <w:tr w:rsidR="005757D1" w:rsidRPr="00F93C9E" w:rsidTr="005757D1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&lt; 1 տարեկան հորթեր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25.2</w:t>
            </w:r>
          </w:p>
        </w:tc>
      </w:tr>
      <w:tr w:rsidR="005757D1" w:rsidRPr="00F93C9E" w:rsidTr="005757D1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12-24 ամսական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</w:t>
            </w:r>
          </w:p>
        </w:tc>
      </w:tr>
      <w:tr w:rsidR="005757D1" w:rsidRPr="00F93C9E" w:rsidTr="005757D1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13.5</w:t>
            </w:r>
          </w:p>
        </w:tc>
      </w:tr>
      <w:tr w:rsidR="005757D1" w:rsidRPr="00F93C9E" w:rsidTr="005757D1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</w:t>
            </w:r>
          </w:p>
        </w:tc>
      </w:tr>
      <w:tr w:rsidR="005757D1" w:rsidRPr="00F93C9E" w:rsidTr="005757D1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31.5</w:t>
            </w:r>
          </w:p>
        </w:tc>
      </w:tr>
      <w:tr w:rsidR="005757D1" w:rsidRPr="00F93C9E" w:rsidTr="005757D1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Մաքիներ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</w:t>
            </w:r>
          </w:p>
        </w:tc>
      </w:tr>
      <w:tr w:rsidR="005757D1" w:rsidRPr="00F93C9E" w:rsidTr="005757D1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3.5</w:t>
            </w:r>
          </w:p>
        </w:tc>
      </w:tr>
      <w:tr w:rsidR="005757D1" w:rsidRPr="00F93C9E" w:rsidTr="005757D1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Գառներ+ուլեր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0.063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3.4</w:t>
            </w:r>
          </w:p>
        </w:tc>
      </w:tr>
      <w:tr w:rsidR="005757D1" w:rsidRPr="00F93C9E" w:rsidTr="005757D1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2.5</w:t>
            </w:r>
          </w:p>
        </w:tc>
      </w:tr>
      <w:tr w:rsidR="005757D1" w:rsidRPr="00F93C9E" w:rsidTr="005757D1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Ավանակներ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1.3</w:t>
            </w:r>
          </w:p>
        </w:tc>
      </w:tr>
      <w:tr w:rsidR="005757D1" w:rsidRPr="00F93C9E" w:rsidTr="005757D1">
        <w:trPr>
          <w:cantSplit/>
          <w:trHeight w:val="153"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445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57D1" w:rsidRPr="00F93C9E" w:rsidRDefault="005757D1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227</w:t>
            </w:r>
          </w:p>
        </w:tc>
      </w:tr>
    </w:tbl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Ըստ ՏԻ մարմնի տրամադրած տեղեկատվության, Գողթանիկ բնակավայրում գործում են ՄԵԿ (ոչխարի) 1 հոտ և ԽԵԿ-ի 3 նախիրներ, որից 2-ը կովերի, 1-ը տարբեր սեռահասակային խմբերի ԽԵԿ-ի (աղ. 12): Նախիրներում և հոտում հաշվվում է շուրջ 227 ՊԳ խոշոր միավոր</w:t>
      </w:r>
    </w:p>
    <w:p w:rsidR="005757D1" w:rsidRPr="00F93C9E" w:rsidRDefault="005757D1" w:rsidP="005757D1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Աղյուսակ 12</w:t>
      </w:r>
    </w:p>
    <w:p w:rsidR="005757D1" w:rsidRPr="00F93C9E" w:rsidRDefault="005757D1" w:rsidP="005757D1">
      <w:pPr>
        <w:spacing w:line="360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Արոտավայրերի արածեցման համար նախիրների և հոտերի առաջարկվող կառուցվածքը, ՊԳ-ով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0"/>
        <w:gridCol w:w="2457"/>
        <w:gridCol w:w="2058"/>
      </w:tblGrid>
      <w:tr w:rsidR="005757D1" w:rsidRPr="00F93C9E" w:rsidTr="005757D1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Նախիրների և հոտերի թիվը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Մեկ նախիրում և հոտում ՊԳ քանակը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 ՊԳ</w:t>
            </w:r>
          </w:p>
        </w:tc>
      </w:tr>
      <w:tr w:rsidR="005757D1" w:rsidRPr="00F93C9E" w:rsidTr="005757D1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Նախիր(կովի) 1, 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102</w:t>
            </w:r>
          </w:p>
        </w:tc>
      </w:tr>
      <w:tr w:rsidR="005757D1" w:rsidRPr="00F93C9E" w:rsidTr="005757D1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 տարբեր սեռահասակային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111</w:t>
            </w:r>
          </w:p>
        </w:tc>
      </w:tr>
      <w:tr w:rsidR="005757D1" w:rsidRPr="00F93C9E" w:rsidTr="005757D1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Հոտ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</w:t>
            </w:r>
          </w:p>
        </w:tc>
      </w:tr>
      <w:tr w:rsidR="005757D1" w:rsidRPr="00F93C9E" w:rsidTr="005757D1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227</w:t>
            </w:r>
          </w:p>
        </w:tc>
      </w:tr>
    </w:tbl>
    <w:p w:rsidR="005757D1" w:rsidRPr="00F93C9E" w:rsidRDefault="005757D1" w:rsidP="005757D1">
      <w:pPr>
        <w:spacing w:line="360" w:lineRule="auto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 –Ձիերի և ավանակների գլխաքանակը ներառնված են մանր եղջերավորի հոտի մեջ:</w:t>
      </w:r>
    </w:p>
    <w:p w:rsidR="005757D1" w:rsidRPr="00F93C9E" w:rsidRDefault="005757D1" w:rsidP="005757D1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հերթափոխ արոտօգտագործման շրջանառությունը կազմակերպվում է հիմնվելով արոտավայրերի բերքատվության, տեղաբաշխվածության, լանդշաֆտային գոտիականության և համայնքից ունեցած հեռավորության տվյալներին: Գարնանը, արոտային շրջանի սկզբնամասում օգտագործվում է բնակավայրամերձ առավել ցածրադիր արոտները, ուշ գարնանը և  ամռան սկզբին նախիրները և հոտը տեղափոխվում են առավել բարձրադիր արոտատեղամասեր, մինջև սեպտեմբերի առաջին տասնօրյակը,  որից հետո հակառակ ընթացքով շարժվում են դեպի առավել ցածրադիր և բնակավայրամերձ արոտատեղամասեր, հնձված խոտհարքային տարածքներ և բերքահավաք կատարած վարելահողեր, ուր արոտակերի ապահովումն իրականացվում է մնացորդային խոզանների ու վերաճած ահլուկի արածումով, մինչև մսուրային շրջանին անցնելը: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Բնակավայրում առկա անասնագլխին արոտակերով ապահովման համար արոտային շրջանում օգտագործվում են հիմնականում արոտների, մասամբ նաև այլընտրանքային կերապահովման տարածքների բուսածածկերը: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Հնարավոր բնապահպանական խնդիրներից զերծ մնալու, անհրաժեշտ արոտակերի խնդիրը լուծելու և կայուն արոտօգտագործում կազմակերպելու համար, համայնքը կարիք ունի կայուն կառավարմամբ արոտօգտագործման արդյունավետ եղանակների կիրառման: Ելնելով արոտավայրերի իրավիճակի ցուցանիշի (ԱԻՑ)  արժեքից, ձևավորվող արոտակերի ընդհանուր քանակի և արոտավայրերի թույլատրելի բեռնավորման (ԱԹԲ) նորմի հաշվարկից, պարզվում է, որ համայնքի արոտավայրերում (70% թույլատրելի օգտագործումով) և արոտակերի ապահովման այլընտրանքային տարածքներում ձևավորվող համախառն արոտակերի պաշարները,  արոտային ժամանակահատվածում կարող են ապահովել շուրջ 2300 ՊԳ խոշոր միավորի</w:t>
      </w:r>
      <w:r w:rsidRPr="00F93C9E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կերի պահանջ: Հաշվի առնելով բնակավայրոում առկա անասնագլխաքանակը (227 ՊԽՄ), պարզ է դառնում, որ արոտային կերերով բնակավայրը լիովին ապահովված է, նույնիսկ հեռագնար արոտավայրերի որոշ հատվածներ վարձակալությամբ տրամադրվում են այլ համայնքների անասնապահ տնտեսվարողներին հեռագնա պահվածք իրականացնելու նպատակով: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Գողթանիկ բնակավայրի պայմաններում առկա արոտային կերերի ամբողջական օգտագործման համար, առաջնահերթ պայման պետք է համարել հեռագնա արոտների հասանելիության ապահովումը հեռագնա պահվածքի ճամբարային ենթակառուցվածքներ ձևավորելով: Ներկայում, բնակավայրում հաշվառված շուրջ 86 գլուխ ( ՊԽՄ) այլ սեռահասակային ԽԵԿ-երի (մինջև 1 տարեկան հորթերը` 25 ՊԽՄ հաշվառված չէ), ամառային արոտային շրջանը կազմակերպում է հեռագնա արոտներում: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պայմաններում ԽԵԿ-ի մինջև 12 ամսեկան հորթերի (25 ՊԽՄ) արոտային շրջանը կազմակերպվում է հիմնականում վարելահողերի միջնակներում կամ տնամերձ տարածքներում կապովի եղանակով, կամ ուղղակի մսուրային պահվածքով, մինջև խոտհարքներում և վարելահողերում բերքահավաքը, որից հետո ազատ պահվածքով արոտի են դուրս բերվում այս տարածքներում: Հաշվի առնելով այս հանգամանքը հորթերի գլխաքանակը (25 ՊԳ) չի ներառնվել արոտօգտագործման` արածեցման գրաֆիկում:</w:t>
      </w:r>
      <w:r w:rsidRPr="00F93C9E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Այսպիսով, արոտավայրերի արդյունավետ օգտագործում իրականացնելու և անասնագլխի կերապահովման խնդիրը լուծելու համար, առաջարկում ենք Գողթանիկ բնակավայրի արոտների օգտագործումը (արածեցումը) կազմակերպել կովերի 2 նախիրներով (102 ՊԽՄ), այլ սեռահասակային խմբերի ԽԵԿ-ի 1 նախիրով (86 ՊԽՄ) և ՄԵԿ-ի 1 հոտերով (14 ՊԽՄ),: Արոտատեղամասերում արածեցումը  իրականացնել ըստ առանձին նախիրների` մեկ ՊԳ/հատված հիմունքով: Անհրաժեշտ է նաև, որ նախիրների և հոտի արածեցման համակարգը հետևի համապատասխան արածեցման ժամկետներին, որոնք նշված են Աղյուսակ 14 ա, բ-ի հերթափոխային արածեցման գրաֆիկում:</w:t>
      </w:r>
      <w:r w:rsidRPr="00F93C9E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Տեղում ստուգելու և համոզվելու համար, թե արդյոք գերարածեցում տեղի է ունեցել, թե ոչ, կա 2 միջոց` 1) անասունների ընդհանուր արածեցման օրերը յուրաքանչյուր արոտավայրում և 2) խոզանի բարձրությունը, ընդ որում երբ այս չափորոշիչները հասնում են սահմանված վերին շեմին, ապա այդ արոտատեղամասում արածեցումը պետք է իսկույն դադարեցվի և անասունները տեղափոխվեն այլ արոտատեղամաս: Հերթափոխային արածեցման համակարգի մի մաս է կազմում կրկնակի արածեցման գրաֆիկը, այսպես աղյուսակ 14 ա, բ-ում արածեցման առաջին և երկրորդ շրջանների համար նշված են արածեցման առավելագույն օրերը և խոզանի բարձրության տարբեր շեմեր, որոնք երբեք չպետք է խախտել, քանի որ հաշվի է առնված արածեցման ժամանակահատվածի գործոնը: Խնդիրը կայանում է նրանում, որ բուսածածկի աճի համար ավելի լավ պայմաններ ապահովող այս ծրագրի շնորհիվ, 2 տարիների ընթացքում համայնքամերձ արոտավայրերի վիճակը կայուն կառավարումով (արոտաշրջանառության իրականացմամբ) հնարավոր է բարելավել, հետագա դեգրադացումը մեղմելով ձևավորել բուսածածկի բնական վերարտադրման հնարավորությունների մեծացում, բերելով արոտավայրի արդյունավետության բարձրացմանը: Յուրաքանչյուր արոտօգտագործող  պետք է գիտակցի, որ այս ձեռնարկը համայնքի բոլոր բնակիչների օգտին է և տնտեսական, և բնապահպանական առումներով: Այս համակարգի առավելությունը կայանում է նրանում, որ այն բավականին ճկուն է և թույլ է տալիս անհրաժեշտության դեպքում կախված արոտավայրի բուսածածկի վիճակից, փոփոխության ենթարկել ինչպես նախիրի քանակությունը, այնպես էլ արածեցման տևականությունն ու խոզանի բարձրության շեմը: Այս հանգամանքը ՏԻՄ-երին հնարավորություն է տալիս մշակել նոր, փոփոխված արածեցման սխեմաներ, դրանով իսկ ապահովել արոտամասերի արդյունավետ 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օգտագործումը անասնագլխաքանակի ավելացման, կլիմայական պայմանների և այլ գործոնների փոփոխման պայմաններում:</w:t>
      </w:r>
      <w:bookmarkStart w:id="61" w:name="_Toc524700609"/>
    </w:p>
    <w:p w:rsidR="005757D1" w:rsidRPr="00F93C9E" w:rsidRDefault="005757D1" w:rsidP="005757D1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pStyle w:val="1"/>
        <w:jc w:val="center"/>
        <w:rPr>
          <w:rFonts w:ascii="Sylfaen" w:hAnsi="Sylfaen"/>
          <w:sz w:val="16"/>
          <w:szCs w:val="16"/>
        </w:rPr>
      </w:pPr>
      <w:bookmarkStart w:id="62" w:name="_Toc17732977"/>
      <w:bookmarkEnd w:id="61"/>
      <w:r w:rsidRPr="00F93C9E">
        <w:rPr>
          <w:rFonts w:ascii="Sylfaen" w:hAnsi="Sylfaen"/>
          <w:sz w:val="16"/>
          <w:szCs w:val="16"/>
        </w:rPr>
        <w:t xml:space="preserve">8. </w:t>
      </w:r>
      <w:r w:rsidRPr="00F93C9E">
        <w:rPr>
          <w:rFonts w:ascii="Sylfaen" w:hAnsi="Sylfaen" w:cs="Sylfaen"/>
          <w:sz w:val="16"/>
          <w:szCs w:val="16"/>
        </w:rPr>
        <w:t>Մսուրային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շրջանում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կուտակվող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կերեր</w:t>
      </w:r>
      <w:r w:rsidRPr="00F93C9E">
        <w:rPr>
          <w:rFonts w:ascii="Sylfaen" w:hAnsi="Sylfaen" w:cs="Cambria"/>
          <w:sz w:val="16"/>
          <w:szCs w:val="16"/>
        </w:rPr>
        <w:t xml:space="preserve"> (</w:t>
      </w:r>
      <w:r w:rsidRPr="00F93C9E">
        <w:rPr>
          <w:rFonts w:ascii="Sylfaen" w:hAnsi="Sylfaen" w:cs="Sylfaen"/>
          <w:sz w:val="16"/>
          <w:szCs w:val="16"/>
        </w:rPr>
        <w:t>խոտի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ապահովածությունը</w:t>
      </w:r>
      <w:r w:rsidRPr="00F93C9E">
        <w:rPr>
          <w:rFonts w:ascii="Sylfaen" w:hAnsi="Sylfaen" w:cs="Cambria"/>
          <w:sz w:val="16"/>
          <w:szCs w:val="16"/>
        </w:rPr>
        <w:t>)</w:t>
      </w:r>
      <w:bookmarkEnd w:id="62"/>
    </w:p>
    <w:p w:rsidR="005757D1" w:rsidRPr="00F93C9E" w:rsidRDefault="005757D1" w:rsidP="005757D1">
      <w:pPr>
        <w:spacing w:line="360" w:lineRule="auto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13</w:t>
      </w:r>
    </w:p>
    <w:p w:rsidR="005757D1" w:rsidRPr="00F93C9E" w:rsidRDefault="005757D1" w:rsidP="005757D1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Անասնագլխի մսուրային շրջանի խոտի պահանջն ու ապահովածությունը</w:t>
      </w:r>
    </w:p>
    <w:tbl>
      <w:tblPr>
        <w:tblW w:w="9510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1995"/>
        <w:gridCol w:w="819"/>
        <w:gridCol w:w="882"/>
        <w:gridCol w:w="966"/>
        <w:gridCol w:w="1301"/>
        <w:gridCol w:w="1126"/>
        <w:gridCol w:w="998"/>
        <w:gridCol w:w="1423"/>
      </w:tblGrid>
      <w:tr w:rsidR="005757D1" w:rsidRPr="00F93C9E" w:rsidTr="005757D1">
        <w:trPr>
          <w:cantSplit/>
          <w:trHeight w:val="2086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ՉԶ օրական  պահանջը, կգ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Մսու</w:t>
            </w: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րային շրջան, օր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Ընդա</w:t>
            </w: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մենը պահանջարկ,տ.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Կուտակվող խոտի քանակը, տ.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Անհրաժեշտ խոտի ավելցուկը,տ.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Ապահով</w:t>
            </w: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վածու</w:t>
            </w: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թյուն,%</w:t>
            </w:r>
          </w:p>
        </w:tc>
      </w:tr>
      <w:tr w:rsidR="005757D1" w:rsidRPr="00F93C9E" w:rsidTr="005757D1">
        <w:trPr>
          <w:cantSplit/>
          <w:trHeight w:val="375"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Բ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Գ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Դ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Ե=ԲxԳxԴ /1000կգ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Զ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Է=Զ-Ե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Ը=Զ/Եx100%</w:t>
            </w:r>
          </w:p>
        </w:tc>
      </w:tr>
      <w:tr w:rsidR="005757D1" w:rsidRPr="00F93C9E" w:rsidTr="005757D1">
        <w:trPr>
          <w:cantSplit/>
          <w:trHeight w:val="375"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Հասուն ԽԵԿ (կովեր)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102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170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173.4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957.1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+568.8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246.4</w:t>
            </w:r>
          </w:p>
        </w:tc>
      </w:tr>
      <w:tr w:rsidR="005757D1" w:rsidRPr="00F93C9E" w:rsidTr="005757D1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&lt; 1 տարեկան հորթեր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90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2.75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205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50.7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5757D1" w:rsidRPr="00F93C9E" w:rsidTr="005757D1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12-24 ամսական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60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4.5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45.9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5757D1" w:rsidRPr="00F93C9E" w:rsidTr="005757D1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4.5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22.95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5757D1" w:rsidRPr="00F93C9E" w:rsidTr="005757D1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7.5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22.1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5757D1" w:rsidRPr="00F93C9E" w:rsidTr="005757D1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42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8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57.1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5757D1" w:rsidRPr="00F93C9E" w:rsidTr="005757D1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Մաքիներ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32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1.25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95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3.8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5757D1" w:rsidRPr="00F93C9E" w:rsidTr="005757D1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28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1.25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95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3.32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5757D1" w:rsidRPr="00F93C9E" w:rsidTr="005757D1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Գառներ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55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0.62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5.28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5757D1" w:rsidRPr="00F93C9E" w:rsidTr="005757D1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8.75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2.49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5757D1" w:rsidRPr="00F93C9E" w:rsidTr="005757D1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Ավանակներ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6.5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1.2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5757D1" w:rsidRPr="00F93C9E" w:rsidTr="005757D1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93C9E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445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Calibri" w:hAnsi="Calibri"/>
                <w:bCs w:val="0"/>
                <w:color w:val="auto"/>
                <w:spacing w:val="0"/>
                <w:sz w:val="16"/>
                <w:szCs w:val="16"/>
                <w:lang w:val="ru-RU" w:eastAsia="ru-RU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rPr>
                <w:rFonts w:ascii="Calibri" w:hAnsi="Calibri"/>
                <w:bCs w:val="0"/>
                <w:color w:val="auto"/>
                <w:spacing w:val="0"/>
                <w:sz w:val="16"/>
                <w:szCs w:val="16"/>
                <w:lang w:val="ru-RU"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57D1" w:rsidRPr="00F93C9E" w:rsidRDefault="005757D1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 w:cs="Calibri"/>
                <w:color w:val="auto"/>
                <w:sz w:val="16"/>
                <w:szCs w:val="16"/>
              </w:rPr>
              <w:t>388.3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</w:tbl>
    <w:p w:rsidR="005757D1" w:rsidRPr="00F93C9E" w:rsidRDefault="005757D1" w:rsidP="005757D1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63" w:name="_Toc402354620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Գողթանիկ բնակավայրում մսուրային շրջանի համար կուտակվող կերերի ձեռքբերման աղբյուրները և քանակությունը          </w:t>
      </w:r>
    </w:p>
    <w:p w:rsidR="005757D1" w:rsidRPr="00F93C9E" w:rsidRDefault="005757D1" w:rsidP="005757D1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Չմշակվող վարելահողերից խոտ               200.0 հա x 2.0 տ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=  400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</w:t>
      </w:r>
    </w:p>
    <w:p w:rsidR="005757D1" w:rsidRPr="00F93C9E" w:rsidRDefault="005757D1" w:rsidP="005757D1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Տնամերձ հողերից խոտ-                                    25 հա x 3.0տ </w:t>
      </w:r>
      <w:proofErr w:type="gramStart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=  75</w:t>
      </w:r>
      <w:proofErr w:type="gramEnd"/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</w:t>
      </w:r>
    </w:p>
    <w:p w:rsidR="005757D1" w:rsidRPr="00F93C9E" w:rsidRDefault="005757D1" w:rsidP="005757D1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Բնական խոտհարքներից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ab/>
        <w:t>-խոտ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ab/>
        <w:t xml:space="preserve">        241.09 հա x 2.0 տ = 482.1 տ</w:t>
      </w:r>
    </w:p>
    <w:p w:rsidR="005757D1" w:rsidRPr="00F93C9E" w:rsidRDefault="005757D1" w:rsidP="005757D1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Գնովի խտացված կեր                                                                  15տ</w:t>
      </w:r>
    </w:p>
    <w:p w:rsidR="005757D1" w:rsidRPr="00F93C9E" w:rsidRDefault="005757D1" w:rsidP="005757D1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Ընդամենը</w:t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ab/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ab/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ab/>
      </w: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ab/>
        <w:t xml:space="preserve">                                  972.1 տ     </w:t>
      </w:r>
    </w:p>
    <w:p w:rsidR="005757D1" w:rsidRPr="00F93C9E" w:rsidRDefault="005757D1" w:rsidP="005757D1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5757D1" w:rsidRPr="00F93C9E" w:rsidRDefault="005757D1" w:rsidP="005757D1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Գնովի խտացված կերերը հիմնականում օգտագործվում ընտանի թռչունների կերակրման համար, մասամբ նաև բտվող կենդանիների քաշաճի ավելացման նպատակով լրացուցիչ կերակրում կազմակերպելու համար:</w:t>
      </w:r>
    </w:p>
    <w:p w:rsidR="005757D1" w:rsidRPr="00F93C9E" w:rsidRDefault="005757D1" w:rsidP="005757D1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մսուրային շրջանում օգտագործվող խոտի պահանջը բավարարվում է (246.4%) սեփական արտադրությամբ` խոտհարքի համար օգտագործվող չմշակվող վարելահողերից, տնամերձ տարածքներից, ինչպես նաև բնական խոտհարքներից: Կուտակվող խոտի ավել մասը վաճառվում է տարածաշրջանի այլ համայնքներում:</w:t>
      </w:r>
    </w:p>
    <w:p w:rsidR="005757D1" w:rsidRPr="00F93C9E" w:rsidRDefault="005757D1" w:rsidP="005757D1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Բնակավայրում դաշտավարությամբ որակյալ կերերի արտադրության կազմակերպման, գնովի խտացված և հատիկային կերերը տեղական արտադրությամբ ապահովելու, ինչպես նաև չմշակվող վարելահողերի հնարավոր դեգրադացումը կանխելու համար, առաջնահերթ անհրաժեշտություն է բնակավայրում կերարտադրության առկա ծավալների ընդլայնման համար անհրաժեշտ նախադրյալների ստեղծումը:</w:t>
      </w:r>
    </w:p>
    <w:p w:rsidR="005757D1" w:rsidRPr="00F93C9E" w:rsidRDefault="005757D1" w:rsidP="005757D1">
      <w:pPr>
        <w:spacing w:line="360" w:lineRule="auto"/>
        <w:rPr>
          <w:rFonts w:ascii="Sylfaen" w:eastAsia="Times New Roman" w:hAnsi="Sylfaen"/>
          <w:b/>
          <w:color w:val="FF0000"/>
          <w:spacing w:val="0"/>
          <w:kern w:val="32"/>
          <w:sz w:val="16"/>
          <w:szCs w:val="16"/>
        </w:rPr>
        <w:sectPr w:rsidR="005757D1" w:rsidRPr="00F93C9E">
          <w:pgSz w:w="11907" w:h="16840"/>
          <w:pgMar w:top="1440" w:right="1440" w:bottom="1440" w:left="1440" w:header="709" w:footer="843" w:gutter="0"/>
          <w:pgNumType w:chapStyle="1"/>
          <w:cols w:space="720"/>
        </w:sectPr>
      </w:pPr>
    </w:p>
    <w:p w:rsidR="005757D1" w:rsidRPr="00F93C9E" w:rsidRDefault="005757D1" w:rsidP="005757D1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64" w:name="_Toc524700611"/>
      <w:bookmarkStart w:id="65" w:name="_Toc17732978"/>
      <w:r w:rsidRPr="00F93C9E">
        <w:rPr>
          <w:rFonts w:ascii="Sylfaen" w:hAnsi="Sylfaen"/>
          <w:sz w:val="16"/>
          <w:szCs w:val="16"/>
        </w:rPr>
        <w:lastRenderedPageBreak/>
        <w:t xml:space="preserve">9. </w:t>
      </w:r>
      <w:r w:rsidRPr="00F93C9E">
        <w:rPr>
          <w:rFonts w:ascii="Sylfaen" w:hAnsi="Sylfaen"/>
          <w:bCs w:val="0"/>
          <w:sz w:val="16"/>
          <w:szCs w:val="16"/>
        </w:rPr>
        <w:t>Գողթանիկ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բնակավայրում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արոտատեղամասերի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բաշխվածության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քարտեզ</w:t>
      </w:r>
      <w:bookmarkEnd w:id="64"/>
      <w:bookmarkEnd w:id="65"/>
    </w:p>
    <w:p w:rsidR="005757D1" w:rsidRPr="00F93C9E" w:rsidRDefault="005757D1" w:rsidP="005757D1">
      <w:pPr>
        <w:spacing w:line="360" w:lineRule="auto"/>
        <w:jc w:val="center"/>
        <w:rPr>
          <w:rFonts w:ascii="Sylfaen" w:hAnsi="Sylfaen" w:cs="Sylfaen"/>
          <w:b/>
          <w:color w:val="FF0000"/>
          <w:sz w:val="16"/>
          <w:szCs w:val="16"/>
        </w:rPr>
      </w:pPr>
    </w:p>
    <w:bookmarkEnd w:id="63"/>
    <w:p w:rsidR="005757D1" w:rsidRPr="00F93C9E" w:rsidRDefault="005757D1" w:rsidP="005757D1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r w:rsidRPr="00F93C9E">
        <w:rPr>
          <w:rFonts w:ascii="Sylfaen" w:hAnsi="Sylfaen"/>
          <w:noProof/>
          <w:color w:val="FF0000"/>
          <w:sz w:val="16"/>
          <w:szCs w:val="16"/>
          <w:lang w:val="ru-RU" w:eastAsia="ru-RU"/>
        </w:rPr>
        <w:drawing>
          <wp:inline distT="0" distB="0" distL="0" distR="0" wp14:anchorId="19F502DD" wp14:editId="677BA77B">
            <wp:extent cx="6202680" cy="5477510"/>
            <wp:effectExtent l="0" t="0" r="7620" b="8890"/>
            <wp:docPr id="2" name="Рисунок 2" descr="Goghta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ghtani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5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C9E">
        <w:rPr>
          <w:rFonts w:ascii="Sylfaen" w:hAnsi="Sylfaen"/>
          <w:color w:val="FF0000"/>
          <w:sz w:val="16"/>
          <w:szCs w:val="16"/>
        </w:rPr>
        <w:t xml:space="preserve"> </w:t>
      </w:r>
      <w:r w:rsidRPr="00F93C9E">
        <w:rPr>
          <w:rFonts w:ascii="Sylfaen" w:hAnsi="Sylfaen"/>
          <w:color w:val="FF0000"/>
          <w:sz w:val="16"/>
          <w:szCs w:val="16"/>
        </w:rPr>
        <w:br w:type="page"/>
      </w:r>
      <w:bookmarkStart w:id="66" w:name="_Toc17732980"/>
      <w:bookmarkStart w:id="67" w:name="_Toc17732979"/>
      <w:r w:rsidRPr="00F93C9E">
        <w:rPr>
          <w:rFonts w:ascii="Sylfaen" w:hAnsi="Sylfaen"/>
          <w:sz w:val="16"/>
          <w:szCs w:val="16"/>
        </w:rPr>
        <w:lastRenderedPageBreak/>
        <w:t xml:space="preserve">10. </w:t>
      </w:r>
      <w:proofErr w:type="gramStart"/>
      <w:r w:rsidRPr="00F93C9E">
        <w:rPr>
          <w:rFonts w:ascii="Sylfaen" w:hAnsi="Sylfaen"/>
          <w:bCs w:val="0"/>
          <w:sz w:val="16"/>
          <w:szCs w:val="16"/>
        </w:rPr>
        <w:t xml:space="preserve">Գողթանիկ 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բնակավայրում</w:t>
      </w:r>
      <w:proofErr w:type="gramEnd"/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արոտատեղամասերի</w:t>
      </w:r>
      <w:r w:rsidRPr="00F93C9E">
        <w:rPr>
          <w:rFonts w:ascii="Sylfaen" w:hAnsi="Sylfaen" w:cs="Cambria"/>
          <w:sz w:val="16"/>
          <w:szCs w:val="16"/>
        </w:rPr>
        <w:t xml:space="preserve"> </w:t>
      </w:r>
      <w:r w:rsidRPr="00F93C9E">
        <w:rPr>
          <w:rFonts w:ascii="Sylfaen" w:hAnsi="Sylfaen" w:cs="Sylfaen"/>
          <w:sz w:val="16"/>
          <w:szCs w:val="16"/>
        </w:rPr>
        <w:t>բաշխվածության</w:t>
      </w:r>
      <w:r w:rsidRPr="00F93C9E">
        <w:rPr>
          <w:rFonts w:ascii="Sylfaen" w:hAnsi="Sylfaen" w:cs="Cambria"/>
          <w:sz w:val="16"/>
          <w:szCs w:val="16"/>
        </w:rPr>
        <w:t xml:space="preserve"> գոտիականության </w:t>
      </w:r>
      <w:r w:rsidRPr="00F93C9E">
        <w:rPr>
          <w:rFonts w:ascii="Sylfaen" w:hAnsi="Sylfaen" w:cs="Sylfaen"/>
          <w:sz w:val="16"/>
          <w:szCs w:val="16"/>
        </w:rPr>
        <w:t>քարտեզ</w:t>
      </w:r>
      <w:bookmarkEnd w:id="66"/>
      <w:bookmarkEnd w:id="67"/>
    </w:p>
    <w:p w:rsidR="005757D1" w:rsidRPr="00F93C9E" w:rsidRDefault="005757D1" w:rsidP="005757D1">
      <w:pPr>
        <w:spacing w:line="360" w:lineRule="auto"/>
        <w:ind w:left="-1134" w:firstLine="141"/>
        <w:rPr>
          <w:rFonts w:ascii="Sylfaen" w:hAnsi="Sylfaen"/>
          <w:sz w:val="16"/>
          <w:szCs w:val="16"/>
          <w:lang w:val="fr-FR"/>
        </w:rPr>
      </w:pPr>
      <w:bookmarkStart w:id="68" w:name="_Toc524700612"/>
    </w:p>
    <w:p w:rsidR="005757D1" w:rsidRPr="00F93C9E" w:rsidRDefault="005757D1" w:rsidP="005757D1">
      <w:pPr>
        <w:spacing w:line="360" w:lineRule="auto"/>
        <w:ind w:left="-1134" w:firstLine="141"/>
        <w:rPr>
          <w:rFonts w:ascii="Sylfaen" w:hAnsi="Sylfaen"/>
          <w:sz w:val="16"/>
          <w:szCs w:val="16"/>
          <w:lang w:val="fr-FR"/>
        </w:rPr>
      </w:pPr>
      <w:r w:rsidRPr="00F93C9E">
        <w:rPr>
          <w:rFonts w:ascii="Sylfaen" w:hAnsi="Sylfaen"/>
          <w:noProof/>
          <w:sz w:val="16"/>
          <w:szCs w:val="16"/>
          <w:lang w:val="ru-RU" w:eastAsia="ru-RU"/>
        </w:rPr>
        <w:drawing>
          <wp:inline distT="0" distB="0" distL="0" distR="0" wp14:anchorId="0DD519AA" wp14:editId="43464B86">
            <wp:extent cx="6892290" cy="4994910"/>
            <wp:effectExtent l="0" t="0" r="3810" b="0"/>
            <wp:docPr id="1" name="Рисунок 1" descr="Goghtanik_Ele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ghtanik_Elevatio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D1" w:rsidRPr="00F93C9E" w:rsidRDefault="005757D1" w:rsidP="005757D1">
      <w:pPr>
        <w:spacing w:line="360" w:lineRule="auto"/>
        <w:rPr>
          <w:rFonts w:ascii="Sylfaen" w:hAnsi="Sylfaen"/>
          <w:sz w:val="16"/>
          <w:szCs w:val="16"/>
          <w:lang w:val="fr-FR"/>
        </w:rPr>
        <w:sectPr w:rsidR="005757D1" w:rsidRPr="00F93C9E">
          <w:pgSz w:w="11907" w:h="16840"/>
          <w:pgMar w:top="1134" w:right="709" w:bottom="567" w:left="1701" w:header="709" w:footer="1077" w:gutter="0"/>
          <w:pgNumType w:chapStyle="1"/>
          <w:cols w:space="720"/>
        </w:sectPr>
      </w:pPr>
    </w:p>
    <w:p w:rsidR="005757D1" w:rsidRPr="00F93C9E" w:rsidRDefault="005757D1" w:rsidP="005757D1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  <w:lang w:val="fr-FR"/>
        </w:rPr>
      </w:pPr>
      <w:bookmarkStart w:id="69" w:name="_Toc17732981"/>
      <w:r w:rsidRPr="00F93C9E">
        <w:rPr>
          <w:rFonts w:ascii="Sylfaen" w:hAnsi="Sylfaen"/>
          <w:sz w:val="16"/>
          <w:szCs w:val="16"/>
          <w:lang w:val="fr-FR"/>
        </w:rPr>
        <w:lastRenderedPageBreak/>
        <w:t xml:space="preserve">11. </w:t>
      </w:r>
      <w:r w:rsidRPr="00F93C9E">
        <w:rPr>
          <w:rFonts w:ascii="Sylfaen" w:hAnsi="Sylfaen"/>
          <w:bCs w:val="0"/>
          <w:sz w:val="16"/>
          <w:szCs w:val="16"/>
        </w:rPr>
        <w:t>Գողթանիկ</w:t>
      </w:r>
      <w:r w:rsidRPr="00F93C9E">
        <w:rPr>
          <w:rFonts w:ascii="Sylfaen" w:hAnsi="Sylfaen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sz w:val="16"/>
          <w:szCs w:val="16"/>
          <w:lang w:val="fr-FR"/>
        </w:rPr>
        <w:t>բնակավայրում</w:t>
      </w:r>
      <w:r w:rsidRPr="00F93C9E">
        <w:rPr>
          <w:rFonts w:ascii="Sylfaen" w:hAnsi="Sylfaen" w:cs="Cambria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sz w:val="16"/>
          <w:szCs w:val="16"/>
          <w:lang w:val="fr-FR"/>
        </w:rPr>
        <w:t>արոտատեղամասերի</w:t>
      </w:r>
      <w:r w:rsidRPr="00F93C9E">
        <w:rPr>
          <w:rFonts w:ascii="Sylfaen" w:hAnsi="Sylfaen" w:cs="Cambria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sz w:val="16"/>
          <w:szCs w:val="16"/>
          <w:lang w:val="fr-FR"/>
        </w:rPr>
        <w:t>արածեցման</w:t>
      </w:r>
      <w:r w:rsidRPr="00F93C9E">
        <w:rPr>
          <w:rFonts w:ascii="Sylfaen" w:hAnsi="Sylfaen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sz w:val="16"/>
          <w:szCs w:val="16"/>
          <w:lang w:val="fr-FR"/>
        </w:rPr>
        <w:t>գրաֆիկ</w:t>
      </w:r>
      <w:bookmarkEnd w:id="68"/>
      <w:bookmarkEnd w:id="69"/>
    </w:p>
    <w:p w:rsidR="005757D1" w:rsidRPr="00F93C9E" w:rsidRDefault="005757D1" w:rsidP="005757D1">
      <w:pPr>
        <w:tabs>
          <w:tab w:val="left" w:pos="360"/>
        </w:tabs>
        <w:spacing w:line="360" w:lineRule="auto"/>
        <w:ind w:firstLine="426"/>
        <w:jc w:val="right"/>
        <w:rPr>
          <w:rFonts w:ascii="Sylfaen" w:hAnsi="Sylfaen" w:cs="Sylfaen"/>
          <w:color w:val="auto"/>
          <w:sz w:val="16"/>
          <w:szCs w:val="16"/>
          <w:lang w:val="fr-FR"/>
        </w:rPr>
      </w:pPr>
      <w:r w:rsidRPr="00F93C9E">
        <w:rPr>
          <w:rFonts w:ascii="Sylfaen" w:hAnsi="Sylfaen" w:cs="Sylfaen"/>
          <w:color w:val="auto"/>
          <w:sz w:val="16"/>
          <w:szCs w:val="16"/>
        </w:rPr>
        <w:t>Աղյուսակ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14</w:t>
      </w:r>
      <w:r w:rsidRPr="00F93C9E">
        <w:rPr>
          <w:rFonts w:ascii="Sylfaen" w:hAnsi="Sylfaen" w:cs="Sylfaen"/>
          <w:color w:val="auto"/>
          <w:sz w:val="16"/>
          <w:szCs w:val="16"/>
        </w:rPr>
        <w:t>ա</w:t>
      </w:r>
    </w:p>
    <w:p w:rsidR="005757D1" w:rsidRPr="00F93C9E" w:rsidRDefault="005757D1" w:rsidP="005757D1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Գողթանիկ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color w:val="auto"/>
          <w:sz w:val="16"/>
          <w:szCs w:val="16"/>
        </w:rPr>
        <w:t>բնակավայրի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color w:val="auto"/>
          <w:sz w:val="16"/>
          <w:szCs w:val="16"/>
        </w:rPr>
        <w:t>ԽԵԿ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F93C9E">
        <w:rPr>
          <w:rFonts w:ascii="Sylfaen" w:hAnsi="Sylfaen" w:cs="Sylfaen"/>
          <w:color w:val="auto"/>
          <w:sz w:val="16"/>
          <w:szCs w:val="16"/>
        </w:rPr>
        <w:t>ի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color w:val="auto"/>
          <w:sz w:val="16"/>
          <w:szCs w:val="16"/>
        </w:rPr>
        <w:t>և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color w:val="auto"/>
          <w:sz w:val="16"/>
          <w:szCs w:val="16"/>
        </w:rPr>
        <w:t>ՄԵԿ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F93C9E">
        <w:rPr>
          <w:rFonts w:ascii="Sylfaen" w:hAnsi="Sylfaen" w:cs="Sylfaen"/>
          <w:color w:val="auto"/>
          <w:sz w:val="16"/>
          <w:szCs w:val="16"/>
        </w:rPr>
        <w:t>ի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color w:val="auto"/>
          <w:sz w:val="16"/>
          <w:szCs w:val="16"/>
        </w:rPr>
        <w:t>արածեցման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color w:val="auto"/>
          <w:sz w:val="16"/>
          <w:szCs w:val="16"/>
        </w:rPr>
        <w:t>գրաֆիկ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</w:p>
    <w:p w:rsidR="005757D1" w:rsidRPr="00F93C9E" w:rsidRDefault="005757D1" w:rsidP="005757D1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  <w:r w:rsidRPr="00F93C9E">
        <w:rPr>
          <w:rFonts w:ascii="Sylfaen" w:hAnsi="Sylfaen"/>
          <w:color w:val="auto"/>
          <w:sz w:val="16"/>
          <w:szCs w:val="16"/>
          <w:lang w:val="fr-FR"/>
        </w:rPr>
        <w:t xml:space="preserve">(1-ին </w:t>
      </w:r>
      <w:r w:rsidRPr="00F93C9E">
        <w:rPr>
          <w:rFonts w:ascii="Sylfaen" w:hAnsi="Sylfaen"/>
          <w:color w:val="auto"/>
          <w:sz w:val="16"/>
          <w:szCs w:val="16"/>
        </w:rPr>
        <w:t>տարի</w:t>
      </w:r>
      <w:r w:rsidRPr="00F93C9E">
        <w:rPr>
          <w:rFonts w:ascii="Sylfaen" w:hAnsi="Sylfaen"/>
          <w:color w:val="auto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11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7"/>
        <w:gridCol w:w="993"/>
        <w:gridCol w:w="1558"/>
        <w:gridCol w:w="1558"/>
        <w:gridCol w:w="1558"/>
        <w:gridCol w:w="993"/>
        <w:gridCol w:w="850"/>
        <w:gridCol w:w="603"/>
      </w:tblGrid>
      <w:tr w:rsidR="005757D1" w:rsidRPr="00F93C9E" w:rsidTr="005757D1">
        <w:trPr>
          <w:trHeight w:val="1173"/>
        </w:trPr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639"/>
              <w:rPr>
                <w:rFonts w:ascii="Sylfaen" w:hAnsi="Sylfaen"/>
                <w:sz w:val="16"/>
                <w:szCs w:val="16"/>
                <w:lang w:val="fr-FR"/>
              </w:rPr>
            </w:pPr>
            <w:r w:rsidRPr="00F93C9E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F93C9E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F93C9E">
              <w:rPr>
                <w:rFonts w:ascii="Sylfaen" w:hAnsi="Sylfaen"/>
                <w:sz w:val="16"/>
                <w:szCs w:val="16"/>
              </w:rPr>
              <w:softHyphen/>
            </w:r>
            <w:r w:rsidRPr="00F93C9E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F93C9E">
              <w:rPr>
                <w:rFonts w:ascii="Sylfaen" w:hAnsi="Sylfaen"/>
                <w:sz w:val="16"/>
                <w:szCs w:val="16"/>
              </w:rPr>
              <w:softHyphen/>
            </w:r>
            <w:r w:rsidRPr="00F93C9E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F93C9E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F93C9E">
              <w:rPr>
                <w:rFonts w:ascii="Sylfaen" w:hAnsi="Sylfaen"/>
                <w:sz w:val="16"/>
                <w:szCs w:val="16"/>
              </w:rPr>
              <w:softHyphen/>
            </w:r>
            <w:r w:rsidRPr="00F93C9E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F93C9E">
              <w:rPr>
                <w:rFonts w:ascii="Sylfaen" w:hAnsi="Sylfaen"/>
                <w:sz w:val="16"/>
                <w:szCs w:val="16"/>
              </w:rPr>
              <w:softHyphen/>
            </w:r>
            <w:r w:rsidRPr="00F93C9E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F93C9E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ռո</w:t>
            </w:r>
            <w:r w:rsidRPr="00F93C9E">
              <w:rPr>
                <w:rFonts w:ascii="Sylfaen" w:hAnsi="Sylfaen"/>
                <w:sz w:val="16"/>
                <w:szCs w:val="16"/>
              </w:rPr>
              <w:softHyphen/>
            </w:r>
            <w:r w:rsidRPr="00F93C9E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F93C9E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F93C9E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F93C9E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F93C9E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F93C9E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F93C9E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5757D1" w:rsidRPr="00F93C9E" w:rsidTr="005757D1">
        <w:trPr>
          <w:trHeight w:val="5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F93C9E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F93C9E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Սառնաղբյուր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170.19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20/04-20/05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26/08-14/10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3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Թաք ծառ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62.3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21/05-05/07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Վերին ջանի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191.58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06/07-25/08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5757D1" w:rsidRPr="00F93C9E" w:rsidTr="005757D1">
        <w:trPr>
          <w:trHeight w:val="2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35.0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15/10-05/11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Սառնաղբյուր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170.19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20/04-10/06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26/09-20/10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3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Վերին ջանի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191.58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11/06-20/08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Քառասուն աղբյուր-1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184.98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21/08-25/09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Վարելահողերի և խոտհարքների խոզան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50.0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21/10-05/11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</w:tr>
      <w:tr w:rsidR="005757D1" w:rsidRPr="00F93C9E" w:rsidTr="005757D1">
        <w:tc>
          <w:tcPr>
            <w:tcW w:w="6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26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50.0</w:t>
            </w:r>
          </w:p>
        </w:tc>
        <w:tc>
          <w:tcPr>
            <w:tcW w:w="15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5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10/03-10/05</w:t>
            </w:r>
          </w:p>
        </w:tc>
        <w:tc>
          <w:tcPr>
            <w:tcW w:w="15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61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</w:tr>
      <w:tr w:rsidR="005757D1" w:rsidRPr="00F93C9E" w:rsidTr="005757D1">
        <w:trPr>
          <w:trHeight w:val="3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Թաք ծառ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62.3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11/05-20/06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11/09-20/11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3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Վերին ջանի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191.58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21/06-10/09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Սառնաղբյուր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170.19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21/11-10/12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</w:tbl>
    <w:p w:rsidR="005757D1" w:rsidRPr="00F93C9E" w:rsidRDefault="005757D1" w:rsidP="005757D1">
      <w:pPr>
        <w:rPr>
          <w:rFonts w:ascii="Sylfaen" w:hAnsi="Sylfaen"/>
          <w:sz w:val="16"/>
          <w:szCs w:val="16"/>
        </w:rPr>
      </w:pPr>
      <w:r w:rsidRPr="00F93C9E">
        <w:rPr>
          <w:rFonts w:ascii="Sylfaen" w:hAnsi="Sylfaen"/>
          <w:b/>
          <w:sz w:val="16"/>
          <w:szCs w:val="16"/>
        </w:rPr>
        <w:t>Ծանոթություն</w:t>
      </w:r>
      <w:r w:rsidRPr="00F93C9E">
        <w:rPr>
          <w:rFonts w:ascii="Sylfaen" w:hAnsi="Sylfaen"/>
          <w:sz w:val="16"/>
          <w:szCs w:val="16"/>
        </w:rPr>
        <w:t>, ՈՒ- ուշ ժամկետում արածեցում:</w:t>
      </w:r>
    </w:p>
    <w:p w:rsidR="005757D1" w:rsidRPr="00F93C9E" w:rsidRDefault="005757D1" w:rsidP="005757D1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F93C9E">
        <w:rPr>
          <w:rFonts w:ascii="Sylfaen" w:hAnsi="Sylfaen"/>
          <w:color w:val="FF0000"/>
          <w:sz w:val="16"/>
          <w:szCs w:val="16"/>
          <w:lang w:val="fr-FR"/>
        </w:rPr>
        <w:br w:type="page"/>
      </w:r>
      <w:r w:rsidRPr="00F93C9E">
        <w:rPr>
          <w:rFonts w:ascii="Sylfaen" w:hAnsi="Sylfaen"/>
          <w:color w:val="FF0000"/>
          <w:sz w:val="16"/>
          <w:szCs w:val="16"/>
          <w:lang w:val="fr-FR"/>
        </w:rPr>
        <w:lastRenderedPageBreak/>
        <w:t xml:space="preserve">                                                                                                               </w:t>
      </w:r>
      <w:r w:rsidRPr="00F93C9E">
        <w:rPr>
          <w:rFonts w:ascii="Sylfaen" w:hAnsi="Sylfaen" w:cs="Sylfaen"/>
          <w:color w:val="auto"/>
          <w:sz w:val="16"/>
          <w:szCs w:val="16"/>
        </w:rPr>
        <w:t>Աղյուսակ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14</w:t>
      </w:r>
      <w:r w:rsidRPr="00F93C9E">
        <w:rPr>
          <w:rFonts w:ascii="Sylfaen" w:hAnsi="Sylfaen" w:cs="Sylfaen"/>
          <w:color w:val="auto"/>
          <w:sz w:val="16"/>
          <w:szCs w:val="16"/>
        </w:rPr>
        <w:t>բ</w:t>
      </w:r>
    </w:p>
    <w:p w:rsidR="005757D1" w:rsidRPr="00F93C9E" w:rsidRDefault="005757D1" w:rsidP="005757D1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F93C9E">
        <w:rPr>
          <w:rFonts w:ascii="Sylfaen" w:hAnsi="Sylfaen"/>
          <w:bCs w:val="0"/>
          <w:color w:val="auto"/>
          <w:spacing w:val="0"/>
          <w:sz w:val="16"/>
          <w:szCs w:val="16"/>
        </w:rPr>
        <w:t>Գողթանիկ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color w:val="auto"/>
          <w:sz w:val="16"/>
          <w:szCs w:val="16"/>
        </w:rPr>
        <w:t>բնակավայրի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color w:val="auto"/>
          <w:sz w:val="16"/>
          <w:szCs w:val="16"/>
        </w:rPr>
        <w:t>ԽԵԿ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F93C9E">
        <w:rPr>
          <w:rFonts w:ascii="Sylfaen" w:hAnsi="Sylfaen" w:cs="Sylfaen"/>
          <w:color w:val="auto"/>
          <w:sz w:val="16"/>
          <w:szCs w:val="16"/>
        </w:rPr>
        <w:t>ի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color w:val="auto"/>
          <w:sz w:val="16"/>
          <w:szCs w:val="16"/>
        </w:rPr>
        <w:t>և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color w:val="auto"/>
          <w:sz w:val="16"/>
          <w:szCs w:val="16"/>
        </w:rPr>
        <w:t>ՄԵԿ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F93C9E">
        <w:rPr>
          <w:rFonts w:ascii="Sylfaen" w:hAnsi="Sylfaen" w:cs="Sylfaen"/>
          <w:color w:val="auto"/>
          <w:sz w:val="16"/>
          <w:szCs w:val="16"/>
        </w:rPr>
        <w:t>ի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color w:val="auto"/>
          <w:sz w:val="16"/>
          <w:szCs w:val="16"/>
        </w:rPr>
        <w:t>արածեցման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93C9E">
        <w:rPr>
          <w:rFonts w:ascii="Sylfaen" w:hAnsi="Sylfaen" w:cs="Sylfaen"/>
          <w:color w:val="auto"/>
          <w:sz w:val="16"/>
          <w:szCs w:val="16"/>
        </w:rPr>
        <w:t>գրաֆիկ</w:t>
      </w:r>
      <w:r w:rsidRPr="00F93C9E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</w:p>
    <w:p w:rsidR="005757D1" w:rsidRPr="00F93C9E" w:rsidRDefault="005757D1" w:rsidP="005757D1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  <w:r w:rsidRPr="00F93C9E">
        <w:rPr>
          <w:rFonts w:ascii="Sylfaen" w:hAnsi="Sylfaen"/>
          <w:color w:val="auto"/>
          <w:sz w:val="16"/>
          <w:szCs w:val="16"/>
          <w:lang w:val="fr-FR"/>
        </w:rPr>
        <w:t xml:space="preserve">(2-րդ </w:t>
      </w:r>
      <w:r w:rsidRPr="00F93C9E">
        <w:rPr>
          <w:rFonts w:ascii="Sylfaen" w:hAnsi="Sylfaen"/>
          <w:color w:val="auto"/>
          <w:sz w:val="16"/>
          <w:szCs w:val="16"/>
        </w:rPr>
        <w:t>տարի</w:t>
      </w:r>
      <w:r w:rsidRPr="00F93C9E">
        <w:rPr>
          <w:rFonts w:ascii="Sylfaen" w:hAnsi="Sylfaen"/>
          <w:color w:val="auto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11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7"/>
        <w:gridCol w:w="993"/>
        <w:gridCol w:w="1558"/>
        <w:gridCol w:w="1558"/>
        <w:gridCol w:w="1558"/>
        <w:gridCol w:w="993"/>
        <w:gridCol w:w="850"/>
        <w:gridCol w:w="603"/>
      </w:tblGrid>
      <w:tr w:rsidR="005757D1" w:rsidRPr="00F93C9E" w:rsidTr="005757D1">
        <w:trPr>
          <w:trHeight w:val="1173"/>
        </w:trPr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639"/>
              <w:rPr>
                <w:rFonts w:ascii="Sylfaen" w:hAnsi="Sylfaen"/>
                <w:sz w:val="16"/>
                <w:szCs w:val="16"/>
                <w:lang w:val="fr-FR"/>
              </w:rPr>
            </w:pPr>
            <w:r w:rsidRPr="00F93C9E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F93C9E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F93C9E">
              <w:rPr>
                <w:rFonts w:ascii="Sylfaen" w:hAnsi="Sylfaen"/>
                <w:sz w:val="16"/>
                <w:szCs w:val="16"/>
              </w:rPr>
              <w:softHyphen/>
            </w:r>
            <w:r w:rsidRPr="00F93C9E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F93C9E">
              <w:rPr>
                <w:rFonts w:ascii="Sylfaen" w:hAnsi="Sylfaen"/>
                <w:sz w:val="16"/>
                <w:szCs w:val="16"/>
              </w:rPr>
              <w:softHyphen/>
            </w:r>
            <w:r w:rsidRPr="00F93C9E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F93C9E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F93C9E">
              <w:rPr>
                <w:rFonts w:ascii="Sylfaen" w:hAnsi="Sylfaen"/>
                <w:sz w:val="16"/>
                <w:szCs w:val="16"/>
              </w:rPr>
              <w:softHyphen/>
            </w:r>
            <w:r w:rsidRPr="00F93C9E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F93C9E">
              <w:rPr>
                <w:rFonts w:ascii="Sylfaen" w:hAnsi="Sylfaen"/>
                <w:sz w:val="16"/>
                <w:szCs w:val="16"/>
              </w:rPr>
              <w:softHyphen/>
            </w:r>
            <w:r w:rsidRPr="00F93C9E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F93C9E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ռո</w:t>
            </w:r>
            <w:r w:rsidRPr="00F93C9E">
              <w:rPr>
                <w:rFonts w:ascii="Sylfaen" w:hAnsi="Sylfaen"/>
                <w:sz w:val="16"/>
                <w:szCs w:val="16"/>
              </w:rPr>
              <w:softHyphen/>
            </w:r>
            <w:r w:rsidRPr="00F93C9E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F93C9E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F93C9E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F93C9E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F93C9E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F93C9E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F93C9E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5757D1" w:rsidRPr="00F93C9E" w:rsidTr="005757D1">
        <w:trPr>
          <w:trHeight w:val="5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F93C9E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F93C9E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F93C9E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5757D1" w:rsidRPr="00F93C9E" w:rsidTr="005757D1">
        <w:trPr>
          <w:trHeight w:val="5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 w:cs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</w:rPr>
              <w:t xml:space="preserve"> 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 w:cs="Sylfaen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 w:cs="Sylfaen"/>
                <w:sz w:val="16"/>
                <w:szCs w:val="16"/>
              </w:rPr>
            </w:pPr>
            <w:r w:rsidRPr="00F93C9E">
              <w:rPr>
                <w:rFonts w:ascii="Sylfaen" w:hAnsi="Sylfaen" w:cs="Sylfaen"/>
                <w:sz w:val="16"/>
                <w:szCs w:val="16"/>
              </w:rPr>
              <w:t>45.0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20/04-15/05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F93C9E">
              <w:rPr>
                <w:rFonts w:ascii="Sylfaen" w:hAnsi="Sylfaen"/>
                <w:sz w:val="16"/>
                <w:szCs w:val="16"/>
                <w:lang w:val="fr-FR"/>
              </w:rPr>
              <w:t>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F93C9E">
              <w:rPr>
                <w:rFonts w:ascii="Sylfaen" w:hAnsi="Sylfaen"/>
                <w:sz w:val="16"/>
                <w:szCs w:val="16"/>
                <w:lang w:val="fr-FR"/>
              </w:rPr>
              <w:t>3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Սառնաղբյուր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170.19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15/05-10/06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26/08-14/10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3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Թաք ծառ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62.3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11/06-05/07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15/10-05/11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4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Վերին ջանի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191.58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06/07-25/08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Թաք ծառ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62.3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20/04-05/05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Սառնաղբյուր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170.19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06/05-11/06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26/09-20/10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3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Վերին ջանի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191.58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11/06-20/08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Քառասուն աղբյուր-1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184.98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21/08-25/09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 xml:space="preserve">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Վարելահողերի և խոտհարքների խոզան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50.0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21/10-05/11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</w:tr>
      <w:tr w:rsidR="005757D1" w:rsidRPr="00F93C9E" w:rsidTr="005757D1">
        <w:tc>
          <w:tcPr>
            <w:tcW w:w="67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26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60.0</w:t>
            </w:r>
          </w:p>
        </w:tc>
        <w:tc>
          <w:tcPr>
            <w:tcW w:w="15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5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10/03-20/05</w:t>
            </w:r>
          </w:p>
        </w:tc>
        <w:tc>
          <w:tcPr>
            <w:tcW w:w="15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71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</w:tr>
      <w:tr w:rsidR="005757D1" w:rsidRPr="00F93C9E" w:rsidTr="005757D1">
        <w:trPr>
          <w:trHeight w:val="3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Թաք ծառ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62.3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21/05-20/06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11/09-20/11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4</w:t>
            </w:r>
          </w:p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Վերին ջանի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191.58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21/06-10/09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5757D1" w:rsidRPr="00F93C9E" w:rsidTr="005757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Սառնաղբյուր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170.19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21/11-10/12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93C9E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D1" w:rsidRPr="00F93C9E" w:rsidRDefault="005757D1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93C9E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</w:tbl>
    <w:p w:rsidR="005757D1" w:rsidRPr="00F93C9E" w:rsidRDefault="005757D1" w:rsidP="005757D1">
      <w:pPr>
        <w:rPr>
          <w:rFonts w:ascii="Sylfaen" w:hAnsi="Sylfaen"/>
          <w:sz w:val="16"/>
          <w:szCs w:val="16"/>
        </w:rPr>
      </w:pPr>
      <w:r w:rsidRPr="00F93C9E">
        <w:rPr>
          <w:rFonts w:ascii="Sylfaen" w:hAnsi="Sylfaen"/>
          <w:b/>
          <w:sz w:val="16"/>
          <w:szCs w:val="16"/>
        </w:rPr>
        <w:t>Ծանոթություն</w:t>
      </w:r>
      <w:r w:rsidRPr="00F93C9E">
        <w:rPr>
          <w:rFonts w:ascii="Sylfaen" w:hAnsi="Sylfaen"/>
          <w:sz w:val="16"/>
          <w:szCs w:val="16"/>
        </w:rPr>
        <w:t>, ՈՒ- ուշ ժամկետում արածեցում:</w:t>
      </w:r>
    </w:p>
    <w:p w:rsidR="005757D1" w:rsidRPr="00F93C9E" w:rsidRDefault="005757D1" w:rsidP="005757D1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FF0000"/>
          <w:sz w:val="16"/>
          <w:szCs w:val="16"/>
          <w:lang w:val="fr-FR"/>
        </w:rPr>
      </w:pPr>
    </w:p>
    <w:p w:rsidR="00826DE4" w:rsidRPr="00F93C9E" w:rsidRDefault="00826DE4">
      <w:pPr>
        <w:rPr>
          <w:sz w:val="16"/>
          <w:szCs w:val="16"/>
        </w:rPr>
      </w:pPr>
    </w:p>
    <w:sectPr w:rsidR="00826DE4" w:rsidRPr="00F93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CC"/>
    <w:family w:val="swiss"/>
    <w:pitch w:val="variable"/>
    <w:sig w:usb0="00000607" w:usb1="00000000" w:usb2="00000000" w:usb3="00000000" w:csb0="0000000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CC"/>
    <w:family w:val="roman"/>
    <w:pitch w:val="variable"/>
    <w:sig w:usb0="00000607" w:usb1="00000000" w:usb2="00000000" w:usb3="00000000" w:csb0="00000087" w:csb1="00000000"/>
  </w:font>
  <w:font w:name="Arial Armenian">
    <w:panose1 w:val="020B0604020202020204"/>
    <w:charset w:val="CC"/>
    <w:family w:val="swiss"/>
    <w:pitch w:val="variable"/>
    <w:sig w:usb0="80000607" w:usb1="00000048" w:usb2="00000000" w:usb3="00000000" w:csb0="0000001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02682"/>
    <w:multiLevelType w:val="hybridMultilevel"/>
    <w:tmpl w:val="AC6A1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A03516"/>
    <w:multiLevelType w:val="hybridMultilevel"/>
    <w:tmpl w:val="831405A8"/>
    <w:lvl w:ilvl="0" w:tplc="588421D6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">
    <w:nsid w:val="65AD619B"/>
    <w:multiLevelType w:val="hybridMultilevel"/>
    <w:tmpl w:val="00CE4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07F"/>
    <w:rsid w:val="0043607F"/>
    <w:rsid w:val="005757D1"/>
    <w:rsid w:val="00826DE4"/>
    <w:rsid w:val="00F9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7D1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757D1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57D1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7D1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5757D1"/>
    <w:rPr>
      <w:rFonts w:ascii="Cambria" w:eastAsia="Times New Roman" w:hAnsi="Cambria" w:cs="Times New Roman"/>
      <w:b/>
      <w:bCs/>
      <w:i/>
      <w:iCs/>
      <w:color w:val="000000"/>
      <w:spacing w:val="20"/>
      <w:sz w:val="28"/>
      <w:szCs w:val="28"/>
      <w:lang w:val="x-none" w:eastAsia="x-none"/>
    </w:rPr>
  </w:style>
  <w:style w:type="character" w:styleId="a3">
    <w:name w:val="Hyperlink"/>
    <w:uiPriority w:val="99"/>
    <w:semiHidden/>
    <w:unhideWhenUsed/>
    <w:rsid w:val="005757D1"/>
    <w:rPr>
      <w:color w:val="0000FF"/>
      <w:u w:val="single"/>
    </w:rPr>
  </w:style>
  <w:style w:type="character" w:styleId="a4">
    <w:name w:val="FollowedHyperlink"/>
    <w:semiHidden/>
    <w:unhideWhenUsed/>
    <w:rsid w:val="005757D1"/>
    <w:rPr>
      <w:color w:val="800080"/>
      <w:u w:val="single"/>
    </w:rPr>
  </w:style>
  <w:style w:type="paragraph" w:styleId="a5">
    <w:name w:val="Normal (Web)"/>
    <w:basedOn w:val="a"/>
    <w:semiHidden/>
    <w:unhideWhenUsed/>
    <w:rsid w:val="005757D1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5757D1"/>
    <w:pPr>
      <w:tabs>
        <w:tab w:val="left" w:pos="0"/>
        <w:tab w:val="right" w:leader="dot" w:pos="9540"/>
      </w:tabs>
      <w:spacing w:line="360" w:lineRule="auto"/>
      <w:ind w:right="-1"/>
      <w:jc w:val="both"/>
    </w:pPr>
    <w:rPr>
      <w:rFonts w:ascii="Sylfaen" w:hAnsi="Sylfaen" w:cs="Sylfaen"/>
      <w:noProof/>
      <w:color w:val="auto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5757D1"/>
    <w:pPr>
      <w:tabs>
        <w:tab w:val="right" w:leader="dot" w:pos="9487"/>
      </w:tabs>
      <w:spacing w:line="360" w:lineRule="auto"/>
      <w:jc w:val="both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757D1"/>
    <w:pPr>
      <w:spacing w:after="100" w:line="276" w:lineRule="auto"/>
      <w:ind w:left="440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5757D1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5757D1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5757D1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5757D1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5757D1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5757D1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5757D1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5757D1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5757D1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5757D1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5757D1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5757D1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5757D1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5757D1"/>
    <w:rPr>
      <w:b/>
    </w:rPr>
  </w:style>
  <w:style w:type="character" w:customStyle="1" w:styleId="af4">
    <w:name w:val="Тема примечания Знак"/>
    <w:basedOn w:val="a9"/>
    <w:link w:val="af3"/>
    <w:semiHidden/>
    <w:rsid w:val="005757D1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5757D1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5757D1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5757D1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Revision"/>
    <w:uiPriority w:val="99"/>
    <w:semiHidden/>
    <w:rsid w:val="005757D1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9">
    <w:name w:val="List Paragraph"/>
    <w:basedOn w:val="a"/>
    <w:qFormat/>
    <w:rsid w:val="005757D1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5757D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Style1Char">
    <w:name w:val="Style1 Char"/>
    <w:link w:val="Style1"/>
    <w:locked/>
    <w:rsid w:val="005757D1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5757D1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b">
    <w:name w:val="footnote reference"/>
    <w:uiPriority w:val="99"/>
    <w:semiHidden/>
    <w:unhideWhenUsed/>
    <w:rsid w:val="005757D1"/>
    <w:rPr>
      <w:vertAlign w:val="superscript"/>
    </w:rPr>
  </w:style>
  <w:style w:type="character" w:styleId="afc">
    <w:name w:val="annotation reference"/>
    <w:semiHidden/>
    <w:unhideWhenUsed/>
    <w:rsid w:val="005757D1"/>
    <w:rPr>
      <w:sz w:val="16"/>
      <w:szCs w:val="16"/>
    </w:rPr>
  </w:style>
  <w:style w:type="character" w:customStyle="1" w:styleId="apple-converted-space">
    <w:name w:val="apple-converted-space"/>
    <w:basedOn w:val="a0"/>
    <w:rsid w:val="005757D1"/>
  </w:style>
  <w:style w:type="character" w:customStyle="1" w:styleId="apple-style-span">
    <w:name w:val="apple-style-span"/>
    <w:basedOn w:val="a0"/>
    <w:rsid w:val="005757D1"/>
  </w:style>
  <w:style w:type="character" w:customStyle="1" w:styleId="12">
    <w:name w:val="Тема примечания Знак1"/>
    <w:basedOn w:val="a9"/>
    <w:semiHidden/>
    <w:rsid w:val="005757D1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5757D1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d">
    <w:name w:val="Table Grid"/>
    <w:basedOn w:val="a1"/>
    <w:uiPriority w:val="59"/>
    <w:rsid w:val="005757D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7D1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757D1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57D1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7D1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5757D1"/>
    <w:rPr>
      <w:rFonts w:ascii="Cambria" w:eastAsia="Times New Roman" w:hAnsi="Cambria" w:cs="Times New Roman"/>
      <w:b/>
      <w:bCs/>
      <w:i/>
      <w:iCs/>
      <w:color w:val="000000"/>
      <w:spacing w:val="20"/>
      <w:sz w:val="28"/>
      <w:szCs w:val="28"/>
      <w:lang w:val="x-none" w:eastAsia="x-none"/>
    </w:rPr>
  </w:style>
  <w:style w:type="character" w:styleId="a3">
    <w:name w:val="Hyperlink"/>
    <w:uiPriority w:val="99"/>
    <w:semiHidden/>
    <w:unhideWhenUsed/>
    <w:rsid w:val="005757D1"/>
    <w:rPr>
      <w:color w:val="0000FF"/>
      <w:u w:val="single"/>
    </w:rPr>
  </w:style>
  <w:style w:type="character" w:styleId="a4">
    <w:name w:val="FollowedHyperlink"/>
    <w:semiHidden/>
    <w:unhideWhenUsed/>
    <w:rsid w:val="005757D1"/>
    <w:rPr>
      <w:color w:val="800080"/>
      <w:u w:val="single"/>
    </w:rPr>
  </w:style>
  <w:style w:type="paragraph" w:styleId="a5">
    <w:name w:val="Normal (Web)"/>
    <w:basedOn w:val="a"/>
    <w:semiHidden/>
    <w:unhideWhenUsed/>
    <w:rsid w:val="005757D1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5757D1"/>
    <w:pPr>
      <w:tabs>
        <w:tab w:val="left" w:pos="0"/>
        <w:tab w:val="right" w:leader="dot" w:pos="9540"/>
      </w:tabs>
      <w:spacing w:line="360" w:lineRule="auto"/>
      <w:ind w:right="-1"/>
      <w:jc w:val="both"/>
    </w:pPr>
    <w:rPr>
      <w:rFonts w:ascii="Sylfaen" w:hAnsi="Sylfaen" w:cs="Sylfaen"/>
      <w:noProof/>
      <w:color w:val="auto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5757D1"/>
    <w:pPr>
      <w:tabs>
        <w:tab w:val="right" w:leader="dot" w:pos="9487"/>
      </w:tabs>
      <w:spacing w:line="360" w:lineRule="auto"/>
      <w:jc w:val="both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757D1"/>
    <w:pPr>
      <w:spacing w:after="100" w:line="276" w:lineRule="auto"/>
      <w:ind w:left="440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5757D1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5757D1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5757D1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5757D1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5757D1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5757D1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5757D1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5757D1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5757D1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5757D1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5757D1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5757D1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5757D1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5757D1"/>
    <w:rPr>
      <w:b/>
    </w:rPr>
  </w:style>
  <w:style w:type="character" w:customStyle="1" w:styleId="af4">
    <w:name w:val="Тема примечания Знак"/>
    <w:basedOn w:val="a9"/>
    <w:link w:val="af3"/>
    <w:semiHidden/>
    <w:rsid w:val="005757D1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5757D1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5757D1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5757D1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Revision"/>
    <w:uiPriority w:val="99"/>
    <w:semiHidden/>
    <w:rsid w:val="005757D1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9">
    <w:name w:val="List Paragraph"/>
    <w:basedOn w:val="a"/>
    <w:qFormat/>
    <w:rsid w:val="005757D1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5757D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Style1Char">
    <w:name w:val="Style1 Char"/>
    <w:link w:val="Style1"/>
    <w:locked/>
    <w:rsid w:val="005757D1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5757D1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b">
    <w:name w:val="footnote reference"/>
    <w:uiPriority w:val="99"/>
    <w:semiHidden/>
    <w:unhideWhenUsed/>
    <w:rsid w:val="005757D1"/>
    <w:rPr>
      <w:vertAlign w:val="superscript"/>
    </w:rPr>
  </w:style>
  <w:style w:type="character" w:styleId="afc">
    <w:name w:val="annotation reference"/>
    <w:semiHidden/>
    <w:unhideWhenUsed/>
    <w:rsid w:val="005757D1"/>
    <w:rPr>
      <w:sz w:val="16"/>
      <w:szCs w:val="16"/>
    </w:rPr>
  </w:style>
  <w:style w:type="character" w:customStyle="1" w:styleId="apple-converted-space">
    <w:name w:val="apple-converted-space"/>
    <w:basedOn w:val="a0"/>
    <w:rsid w:val="005757D1"/>
  </w:style>
  <w:style w:type="character" w:customStyle="1" w:styleId="apple-style-span">
    <w:name w:val="apple-style-span"/>
    <w:basedOn w:val="a0"/>
    <w:rsid w:val="005757D1"/>
  </w:style>
  <w:style w:type="character" w:customStyle="1" w:styleId="12">
    <w:name w:val="Тема примечания Знак1"/>
    <w:basedOn w:val="a9"/>
    <w:semiHidden/>
    <w:rsid w:val="005757D1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5757D1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d">
    <w:name w:val="Table Grid"/>
    <w:basedOn w:val="a1"/>
    <w:uiPriority w:val="59"/>
    <w:rsid w:val="005757D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7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file:///C:\Users\888\Downloads\5.%20Goghtanik%20-%20&#1331;&#1400;&#1394;&#1385;&#1377;&#1398;&#1387;&#1391;%202019%20&#1343;&#1354;.doc" TargetMode="External"/><Relationship Id="rId18" Type="http://schemas.openxmlformats.org/officeDocument/2006/relationships/hyperlink" Target="file:///C:\Users\888\Downloads\5.%20Goghtanik%20-%20&#1331;&#1400;&#1394;&#1385;&#1377;&#1398;&#1387;&#1391;%202019%20&#1343;&#1354;.doc" TargetMode="External"/><Relationship Id="rId26" Type="http://schemas.openxmlformats.org/officeDocument/2006/relationships/hyperlink" Target="file:///C:\Users\888\Downloads\5.%20Goghtanik%20-%20&#1331;&#1400;&#1394;&#1385;&#1377;&#1398;&#1387;&#1391;%202019%20&#1343;&#1354;.do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C:\Users\888\Downloads\5.%20Goghtanik%20-%20&#1331;&#1400;&#1394;&#1385;&#1377;&#1398;&#1387;&#1391;%202019%20&#1343;&#1354;.doc" TargetMode="External"/><Relationship Id="rId7" Type="http://schemas.openxmlformats.org/officeDocument/2006/relationships/image" Target="media/image2.png"/><Relationship Id="rId12" Type="http://schemas.openxmlformats.org/officeDocument/2006/relationships/hyperlink" Target="file:///C:\Users\888\Downloads\5.%20Goghtanik%20-%20&#1331;&#1400;&#1394;&#1385;&#1377;&#1398;&#1387;&#1391;%202019%20&#1343;&#1354;.doc" TargetMode="External"/><Relationship Id="rId17" Type="http://schemas.openxmlformats.org/officeDocument/2006/relationships/hyperlink" Target="file:///C:\Users\888\Downloads\5.%20Goghtanik%20-%20&#1331;&#1400;&#1394;&#1385;&#1377;&#1398;&#1387;&#1391;%202019%20&#1343;&#1354;.doc" TargetMode="External"/><Relationship Id="rId25" Type="http://schemas.openxmlformats.org/officeDocument/2006/relationships/hyperlink" Target="file:///C:\Users\888\Downloads\5.%20Goghtanik%20-%20&#1331;&#1400;&#1394;&#1385;&#1377;&#1398;&#1387;&#1391;%202019%20&#1343;&#1354;.doc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888\Downloads\5.%20Goghtanik%20-%20&#1331;&#1400;&#1394;&#1385;&#1377;&#1398;&#1387;&#1391;%202019%20&#1343;&#1354;.doc" TargetMode="External"/><Relationship Id="rId20" Type="http://schemas.openxmlformats.org/officeDocument/2006/relationships/hyperlink" Target="file:///C:\Users\888\Downloads\5.%20Goghtanik%20-%20&#1331;&#1400;&#1394;&#1385;&#1377;&#1398;&#1387;&#1391;%202019%20&#1343;&#1354;.doc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888\Downloads\5.%20Goghtanik%20-%20&#1331;&#1400;&#1394;&#1385;&#1377;&#1398;&#1387;&#1391;%202019%20&#1343;&#1354;.doc" TargetMode="External"/><Relationship Id="rId24" Type="http://schemas.openxmlformats.org/officeDocument/2006/relationships/hyperlink" Target="file:///C:\Users\888\Downloads\5.%20Goghtanik%20-%20&#1331;&#1400;&#1394;&#1385;&#1377;&#1398;&#1387;&#1391;%202019%20&#1343;&#1354;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888\Downloads\5.%20Goghtanik%20-%20&#1331;&#1400;&#1394;&#1385;&#1377;&#1398;&#1387;&#1391;%202019%20&#1343;&#1354;.doc" TargetMode="External"/><Relationship Id="rId23" Type="http://schemas.openxmlformats.org/officeDocument/2006/relationships/hyperlink" Target="file:///C:\Users\888\Downloads\5.%20Goghtanik%20-%20&#1331;&#1400;&#1394;&#1385;&#1377;&#1398;&#1387;&#1391;%202019%20&#1343;&#1354;.doc" TargetMode="External"/><Relationship Id="rId28" Type="http://schemas.openxmlformats.org/officeDocument/2006/relationships/image" Target="media/image4.jpeg"/><Relationship Id="rId10" Type="http://schemas.openxmlformats.org/officeDocument/2006/relationships/hyperlink" Target="file:///C:\Users\888\Downloads\5.%20Goghtanik%20-%20&#1331;&#1400;&#1394;&#1385;&#1377;&#1398;&#1387;&#1391;%202019%20&#1343;&#1354;.doc" TargetMode="External"/><Relationship Id="rId19" Type="http://schemas.openxmlformats.org/officeDocument/2006/relationships/hyperlink" Target="file:///C:\Users\888\Downloads\5.%20Goghtanik%20-%20&#1331;&#1400;&#1394;&#1385;&#1377;&#1398;&#1387;&#1391;%202019%20&#1343;&#1354;.doc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888\Downloads\5.%20Goghtanik%20-%20&#1331;&#1400;&#1394;&#1385;&#1377;&#1398;&#1387;&#1391;%202019%20&#1343;&#1354;.doc" TargetMode="External"/><Relationship Id="rId14" Type="http://schemas.openxmlformats.org/officeDocument/2006/relationships/hyperlink" Target="file:///C:\Users\888\Downloads\5.%20Goghtanik%20-%20&#1331;&#1400;&#1394;&#1385;&#1377;&#1398;&#1387;&#1391;%202019%20&#1343;&#1354;.doc" TargetMode="External"/><Relationship Id="rId22" Type="http://schemas.openxmlformats.org/officeDocument/2006/relationships/hyperlink" Target="file:///C:\Users\888\Downloads\5.%20Goghtanik%20-%20&#1331;&#1400;&#1394;&#1385;&#1377;&#1398;&#1387;&#1391;%202019%20&#1343;&#1354;.doc" TargetMode="External"/><Relationship Id="rId27" Type="http://schemas.openxmlformats.org/officeDocument/2006/relationships/hyperlink" Target="https://ru.wikipedia.org/wiki/L.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8496</Words>
  <Characters>48431</Characters>
  <Application>Microsoft Office Word</Application>
  <DocSecurity>0</DocSecurity>
  <Lines>403</Lines>
  <Paragraphs>113</Paragraphs>
  <ScaleCrop>false</ScaleCrop>
  <Company>Home</Company>
  <LinksUpToDate>false</LinksUpToDate>
  <CharactersWithSpaces>56814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cp:lastPrinted>2020-02-17T14:37:00Z</cp:lastPrinted>
  <dcterms:created xsi:type="dcterms:W3CDTF">2020-02-14T14:29:00Z</dcterms:created>
  <dcterms:modified xsi:type="dcterms:W3CDTF">2020-02-17T14:37:00Z</dcterms:modified>
</cp:coreProperties>
</file>