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9B" w:rsidRPr="00653014" w:rsidRDefault="00F05C9B" w:rsidP="00F05C9B">
      <w:pPr>
        <w:pBdr>
          <w:bottom w:val="single" w:sz="4" w:space="1" w:color="auto"/>
        </w:pBd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  <w:r w:rsidRPr="00653014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4C67EC89" wp14:editId="49EA1345">
            <wp:extent cx="2924175" cy="600075"/>
            <wp:effectExtent l="0" t="0" r="9525" b="9525"/>
            <wp:docPr id="6" name="Рисунок 6" descr="Logo II Kar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I Karma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  <w:r w:rsidRPr="00653014">
        <w:rPr>
          <w:rFonts w:ascii="Sylfaen" w:hAnsi="Sylfaen"/>
          <w:b/>
          <w:caps/>
          <w:sz w:val="16"/>
          <w:szCs w:val="16"/>
        </w:rPr>
        <w:t>ՀԱՄԱՅՆՔՆԵՐԻ ԳՅՈՒՂԱՏՆՏԵՍԱԿԱն ՌԵՍՈՒՐՍՆԵՐԻ</w:t>
      </w: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  <w:r w:rsidRPr="00653014">
        <w:rPr>
          <w:rFonts w:ascii="Sylfaen" w:hAnsi="Sylfaen"/>
          <w:b/>
          <w:caps/>
          <w:sz w:val="16"/>
          <w:szCs w:val="16"/>
        </w:rPr>
        <w:t>ԿԱՌԱՎԱՐՄԱՆ ԵՎ ՄՐՑՈՒՆԱԿՈՒԹՅԱն</w:t>
      </w: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  <w:r w:rsidRPr="00653014">
        <w:rPr>
          <w:rFonts w:ascii="Sylfaen" w:hAnsi="Sylfaen"/>
          <w:b/>
          <w:caps/>
          <w:sz w:val="16"/>
          <w:szCs w:val="16"/>
        </w:rPr>
        <w:t>Ծրագիր</w:t>
      </w: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  <w:r w:rsidRPr="00653014">
        <w:rPr>
          <w:rFonts w:ascii="Sylfaen" w:hAnsi="Sylfaen"/>
          <w:b/>
          <w:caps/>
          <w:sz w:val="16"/>
          <w:szCs w:val="16"/>
        </w:rPr>
        <w:t>Արտաբույնք, Վայոց Ձորի ՄԱՐԶ</w:t>
      </w:r>
    </w:p>
    <w:p w:rsidR="00F05C9B" w:rsidRPr="00653014" w:rsidRDefault="00F05C9B" w:rsidP="00F05C9B">
      <w:pPr>
        <w:spacing w:line="360" w:lineRule="auto"/>
        <w:ind w:right="282"/>
        <w:jc w:val="center"/>
        <w:rPr>
          <w:rFonts w:ascii="Sylfaen" w:hAnsi="Sylfaen"/>
          <w:b/>
          <w:caps/>
          <w:sz w:val="16"/>
          <w:szCs w:val="16"/>
        </w:rPr>
      </w:pPr>
      <w:r w:rsidRPr="00653014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33F20D31" wp14:editId="67F0E372">
            <wp:extent cx="6553200" cy="4933950"/>
            <wp:effectExtent l="0" t="0" r="0" b="0"/>
            <wp:docPr id="5" name="Рисунок 5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014">
        <w:rPr>
          <w:rFonts w:eastAsia="Times New Roman"/>
          <w:snapToGrid w:val="0"/>
          <w:w w:val="1"/>
          <w:sz w:val="16"/>
          <w:szCs w:val="16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  <w:r w:rsidRPr="00653014">
        <w:rPr>
          <w:rFonts w:ascii="Sylfaen" w:hAnsi="Sylfaen"/>
          <w:b/>
          <w:caps/>
          <w:sz w:val="16"/>
          <w:szCs w:val="16"/>
        </w:rPr>
        <w:t xml:space="preserve">ԱՐՏԱԲՈՒՅՆՔ ՀԱՄԱՅՆՔԻ ԱՐՈՏԱՎԱՅՐԵՐԻ ԿԱՌԱՎԱՐՄԱՆ ԵՎ ԱՆԱՍՆԱՊԱՀՈՒԹՅԱՆ ԶԱՐԳԱՑՄԱՆ ՊԼԱՆ </w:t>
      </w: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caps/>
          <w:sz w:val="16"/>
          <w:szCs w:val="16"/>
        </w:rPr>
      </w:pP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sz w:val="16"/>
          <w:szCs w:val="16"/>
        </w:rPr>
      </w:pP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b/>
          <w:sz w:val="16"/>
          <w:szCs w:val="16"/>
        </w:rPr>
      </w:pPr>
      <w:r w:rsidRPr="00653014">
        <w:rPr>
          <w:rFonts w:ascii="Sylfaen" w:hAnsi="Sylfaen"/>
          <w:b/>
          <w:sz w:val="16"/>
          <w:szCs w:val="16"/>
        </w:rPr>
        <w:t>2016</w:t>
      </w:r>
    </w:p>
    <w:p w:rsidR="00F05C9B" w:rsidRPr="00653014" w:rsidRDefault="00F05C9B" w:rsidP="00F05C9B">
      <w:pPr>
        <w:spacing w:line="360" w:lineRule="auto"/>
        <w:jc w:val="center"/>
        <w:rPr>
          <w:rFonts w:ascii="Sylfaen" w:hAnsi="Sylfaen"/>
          <w:sz w:val="16"/>
          <w:szCs w:val="16"/>
        </w:rPr>
      </w:pPr>
    </w:p>
    <w:p w:rsidR="00F05C9B" w:rsidRPr="00653014" w:rsidRDefault="00F05C9B" w:rsidP="00F05C9B">
      <w:pPr>
        <w:spacing w:line="360" w:lineRule="auto"/>
        <w:rPr>
          <w:rFonts w:ascii="Sylfaen" w:hAnsi="Sylfaen"/>
          <w:sz w:val="16"/>
          <w:szCs w:val="16"/>
        </w:rPr>
      </w:pPr>
      <w:r w:rsidRPr="00653014">
        <w:rPr>
          <w:rFonts w:ascii="Sylfaen" w:hAnsi="Sylfaen"/>
          <w:sz w:val="16"/>
          <w:szCs w:val="16"/>
        </w:rPr>
        <w:t xml:space="preserve">                                     Բովանդակություն</w:t>
      </w:r>
    </w:p>
    <w:p w:rsidR="00F05C9B" w:rsidRPr="00653014" w:rsidRDefault="00F05C9B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r w:rsidRPr="00653014">
        <w:rPr>
          <w:sz w:val="16"/>
          <w:szCs w:val="16"/>
        </w:rPr>
        <w:fldChar w:fldCharType="begin"/>
      </w:r>
      <w:r w:rsidRPr="00653014">
        <w:rPr>
          <w:sz w:val="16"/>
          <w:szCs w:val="16"/>
        </w:rPr>
        <w:instrText xml:space="preserve"> TOC \o "1-3" \h \z \u </w:instrText>
      </w:r>
      <w:r w:rsidRPr="00653014">
        <w:rPr>
          <w:sz w:val="16"/>
          <w:szCs w:val="16"/>
        </w:rPr>
        <w:fldChar w:fldCharType="separate"/>
      </w:r>
      <w:hyperlink r:id="rId8" w:anchor="_Toc402354604" w:history="1">
        <w:r w:rsidRPr="00653014">
          <w:rPr>
            <w:rStyle w:val="a3"/>
            <w:sz w:val="16"/>
            <w:szCs w:val="16"/>
          </w:rPr>
          <w:t xml:space="preserve">1. </w:t>
        </w:r>
        <w:r w:rsidRPr="00653014">
          <w:rPr>
            <w:rStyle w:val="a3"/>
            <w:rFonts w:ascii="Sylfaen" w:hAnsi="Sylfaen" w:cs="Sylfaen"/>
            <w:sz w:val="16"/>
            <w:szCs w:val="16"/>
          </w:rPr>
          <w:t>Ներածություն</w:t>
        </w:r>
        <w:r w:rsidRPr="00653014">
          <w:rPr>
            <w:rStyle w:val="a3"/>
            <w:webHidden/>
            <w:sz w:val="16"/>
            <w:szCs w:val="16"/>
          </w:rPr>
          <w:tab/>
          <w:t>..</w:t>
        </w:r>
        <w:r w:rsidRPr="00653014">
          <w:rPr>
            <w:rStyle w:val="a3"/>
            <w:webHidden/>
            <w:sz w:val="16"/>
            <w:szCs w:val="16"/>
          </w:rPr>
          <w:fldChar w:fldCharType="begin"/>
        </w:r>
        <w:r w:rsidRPr="00653014">
          <w:rPr>
            <w:rStyle w:val="a3"/>
            <w:webHidden/>
            <w:sz w:val="16"/>
            <w:szCs w:val="16"/>
          </w:rPr>
          <w:instrText xml:space="preserve"> PAGEREF _Toc402354604 \h </w:instrText>
        </w:r>
        <w:r w:rsidRPr="00653014">
          <w:rPr>
            <w:rStyle w:val="a3"/>
            <w:webHidden/>
            <w:sz w:val="16"/>
            <w:szCs w:val="16"/>
          </w:rPr>
        </w:r>
        <w:r w:rsidRPr="00653014">
          <w:rPr>
            <w:rStyle w:val="a3"/>
            <w:webHidden/>
            <w:sz w:val="16"/>
            <w:szCs w:val="16"/>
          </w:rPr>
          <w:fldChar w:fldCharType="separate"/>
        </w:r>
        <w:r w:rsidR="00653014">
          <w:rPr>
            <w:rStyle w:val="a3"/>
            <w:webHidden/>
            <w:sz w:val="16"/>
            <w:szCs w:val="16"/>
          </w:rPr>
          <w:t>2</w:t>
        </w:r>
        <w:r w:rsidRPr="00653014">
          <w:rPr>
            <w:rStyle w:val="a3"/>
            <w:webHidden/>
            <w:sz w:val="16"/>
            <w:szCs w:val="16"/>
          </w:rPr>
          <w:fldChar w:fldCharType="end"/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9" w:anchor="_Toc402354605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2.Արտաբույնք համայնքի գյուղատնտեսական նշանակության հողերի կառուցվածքը և սեփականության ձևերը</w:t>
        </w:r>
        <w:r w:rsidR="00F05C9B" w:rsidRPr="00653014">
          <w:rPr>
            <w:rStyle w:val="a3"/>
            <w:webHidden/>
            <w:sz w:val="16"/>
            <w:szCs w:val="16"/>
          </w:rPr>
          <w:tab/>
        </w:r>
        <w:r w:rsidR="00F05C9B" w:rsidRPr="00653014">
          <w:rPr>
            <w:rStyle w:val="a3"/>
            <w:webHidden/>
            <w:sz w:val="16"/>
            <w:szCs w:val="16"/>
          </w:rPr>
          <w:fldChar w:fldCharType="begin"/>
        </w:r>
        <w:r w:rsidR="00F05C9B" w:rsidRPr="00653014">
          <w:rPr>
            <w:rStyle w:val="a3"/>
            <w:webHidden/>
            <w:sz w:val="16"/>
            <w:szCs w:val="16"/>
          </w:rPr>
          <w:instrText xml:space="preserve"> PAGEREF _Toc402354605 \h </w:instrText>
        </w:r>
        <w:r w:rsidR="00F05C9B" w:rsidRPr="00653014">
          <w:rPr>
            <w:rStyle w:val="a3"/>
            <w:webHidden/>
            <w:sz w:val="16"/>
            <w:szCs w:val="16"/>
          </w:rPr>
        </w:r>
        <w:r w:rsidR="00F05C9B" w:rsidRPr="00653014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F05C9B" w:rsidRPr="00653014">
          <w:rPr>
            <w:rStyle w:val="a3"/>
            <w:webHidden/>
            <w:sz w:val="16"/>
            <w:szCs w:val="16"/>
          </w:rPr>
          <w:fldChar w:fldCharType="end"/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0" w:anchor="_Toc402354606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3.Համայնքի անասնագլխաքանակն ըստ տնտեսությունների և անասնակերի պահանջը</w:t>
        </w:r>
        <w:r w:rsidR="00F05C9B" w:rsidRPr="00653014">
          <w:rPr>
            <w:rStyle w:val="a3"/>
            <w:webHidden/>
            <w:sz w:val="16"/>
            <w:szCs w:val="16"/>
          </w:rPr>
          <w:tab/>
          <w:t>5</w:t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1" w:anchor="_Toc402354607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3.1 Անասնակերի պահանջի հաշվարկ</w:t>
        </w:r>
        <w:r w:rsidR="00F05C9B" w:rsidRPr="00653014">
          <w:rPr>
            <w:rStyle w:val="a3"/>
            <w:webHidden/>
            <w:sz w:val="16"/>
            <w:szCs w:val="16"/>
          </w:rPr>
          <w:tab/>
          <w:t>6</w:t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2" w:anchor="_Toc402354608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4. Համայնքի ֆիզիկաաշխարհագրական</w:t>
        </w:r>
      </w:hyperlink>
      <w:r w:rsidR="00F05C9B" w:rsidRPr="00653014">
        <w:rPr>
          <w:rFonts w:ascii="Calibri" w:eastAsia="Times New Roman" w:hAnsi="Calibri"/>
          <w:color w:val="auto"/>
          <w:spacing w:val="0"/>
          <w:sz w:val="16"/>
          <w:szCs w:val="16"/>
          <w:lang w:eastAsia="ru-RU"/>
        </w:rPr>
        <w:t xml:space="preserve"> </w:t>
      </w:r>
      <w:hyperlink r:id="rId13" w:anchor="_Toc402354609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առանձնահատկությունները</w:t>
        </w:r>
        <w:r w:rsidR="00F05C9B" w:rsidRPr="00653014">
          <w:rPr>
            <w:rStyle w:val="a3"/>
            <w:webHidden/>
            <w:sz w:val="16"/>
            <w:szCs w:val="16"/>
          </w:rPr>
          <w:tab/>
          <w:t>8</w:t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4" w:anchor="_Toc402354610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4.1 Արոտատեղամասերի Էկոլոգիական գնահատում</w:t>
        </w:r>
        <w:r w:rsidR="00F05C9B" w:rsidRPr="00653014">
          <w:rPr>
            <w:rStyle w:val="a3"/>
            <w:webHidden/>
            <w:sz w:val="16"/>
            <w:szCs w:val="16"/>
          </w:rPr>
          <w:tab/>
          <w:t>1</w:t>
        </w:r>
      </w:hyperlink>
      <w:r w:rsidR="00F05C9B" w:rsidRPr="00653014">
        <w:rPr>
          <w:rStyle w:val="a3"/>
          <w:color w:val="auto"/>
          <w:sz w:val="16"/>
          <w:szCs w:val="16"/>
        </w:rPr>
        <w:t>1</w:t>
      </w:r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5" w:anchor="_Toc402354611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5. Ընթացիկ կառավարում ըստ գոտիների</w:t>
        </w:r>
        <w:r w:rsidR="00F05C9B" w:rsidRPr="00653014">
          <w:rPr>
            <w:rStyle w:val="a3"/>
            <w:webHidden/>
            <w:sz w:val="16"/>
            <w:szCs w:val="16"/>
          </w:rPr>
          <w:tab/>
        </w:r>
        <w:r w:rsidR="00F05C9B" w:rsidRPr="00653014">
          <w:rPr>
            <w:rStyle w:val="a3"/>
            <w:webHidden/>
            <w:sz w:val="16"/>
            <w:szCs w:val="16"/>
          </w:rPr>
          <w:fldChar w:fldCharType="begin"/>
        </w:r>
        <w:r w:rsidR="00F05C9B" w:rsidRPr="00653014">
          <w:rPr>
            <w:rStyle w:val="a3"/>
            <w:webHidden/>
            <w:sz w:val="16"/>
            <w:szCs w:val="16"/>
          </w:rPr>
          <w:instrText xml:space="preserve"> PAGEREF _Toc402354611 \h </w:instrText>
        </w:r>
        <w:r w:rsidR="00F05C9B" w:rsidRPr="00653014">
          <w:rPr>
            <w:rStyle w:val="a3"/>
            <w:webHidden/>
            <w:sz w:val="16"/>
            <w:szCs w:val="16"/>
          </w:rPr>
        </w:r>
        <w:r w:rsidR="00F05C9B" w:rsidRPr="00653014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10</w:t>
        </w:r>
        <w:r w:rsidR="00F05C9B" w:rsidRPr="00653014">
          <w:rPr>
            <w:rStyle w:val="a3"/>
            <w:webHidden/>
            <w:sz w:val="16"/>
            <w:szCs w:val="16"/>
          </w:rPr>
          <w:fldChar w:fldCharType="end"/>
        </w:r>
      </w:hyperlink>
      <w:r w:rsidR="00F05C9B" w:rsidRPr="00653014">
        <w:rPr>
          <w:rStyle w:val="a3"/>
          <w:color w:val="auto"/>
          <w:sz w:val="16"/>
          <w:szCs w:val="16"/>
        </w:rPr>
        <w:t>7</w:t>
      </w:r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6" w:anchor="_Toc402354612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5.1 Համայնքի արոտների բուսածածկը և բերքատվության ցուցանիշները</w:t>
        </w:r>
        <w:r w:rsidR="00F05C9B" w:rsidRPr="00653014">
          <w:rPr>
            <w:rStyle w:val="a3"/>
            <w:webHidden/>
            <w:sz w:val="16"/>
            <w:szCs w:val="16"/>
          </w:rPr>
          <w:tab/>
          <w:t>20</w:t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7" w:anchor="_Toc402354613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5.2Արոտավայրերի կառավարման և անասնապահության զարգացման նախադրյալները</w:t>
        </w:r>
        <w:r w:rsidR="00F05C9B" w:rsidRPr="00653014">
          <w:rPr>
            <w:rStyle w:val="a3"/>
            <w:webHidden/>
            <w:sz w:val="16"/>
            <w:szCs w:val="16"/>
          </w:rPr>
          <w:tab/>
          <w:t>2</w:t>
        </w:r>
      </w:hyperlink>
      <w:r w:rsidR="00F05C9B" w:rsidRPr="00653014">
        <w:rPr>
          <w:rStyle w:val="a3"/>
          <w:color w:val="auto"/>
          <w:sz w:val="16"/>
          <w:szCs w:val="16"/>
        </w:rPr>
        <w:t>4</w:t>
      </w:r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8" w:anchor="_Toc402354614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6.Չոր կենսազանգվածի կուտակման հնարավորությունն ըստ բնակլիմայական գոտիների</w:t>
        </w:r>
        <w:r w:rsidR="00F05C9B" w:rsidRPr="00653014">
          <w:rPr>
            <w:rStyle w:val="a3"/>
            <w:webHidden/>
            <w:sz w:val="16"/>
            <w:szCs w:val="16"/>
          </w:rPr>
          <w:tab/>
          <w:t>2</w:t>
        </w:r>
      </w:hyperlink>
      <w:r w:rsidR="00F05C9B" w:rsidRPr="00653014">
        <w:rPr>
          <w:rStyle w:val="a3"/>
          <w:color w:val="auto"/>
          <w:sz w:val="16"/>
          <w:szCs w:val="16"/>
        </w:rPr>
        <w:t>6</w:t>
      </w:r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19" w:anchor="_Toc402354615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6.1 Համայնքի կերահանդակներից և այլընտրանքային կերապահովման տարածքներից ստացվող չոր զանգվածի</w:t>
        </w:r>
      </w:hyperlink>
      <w:r w:rsidR="00F05C9B" w:rsidRPr="00653014">
        <w:rPr>
          <w:rFonts w:ascii="Calibri" w:eastAsia="Times New Roman" w:hAnsi="Calibri"/>
          <w:color w:val="auto"/>
          <w:spacing w:val="0"/>
          <w:sz w:val="16"/>
          <w:szCs w:val="16"/>
          <w:lang w:eastAsia="ru-RU"/>
        </w:rPr>
        <w:t xml:space="preserve"> </w:t>
      </w:r>
      <w:hyperlink r:id="rId20" w:anchor="_Toc402354616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և արածեցման   օրերի քանակը------------</w:t>
        </w:r>
        <w:r w:rsidR="00F05C9B" w:rsidRPr="00653014">
          <w:rPr>
            <w:rStyle w:val="a3"/>
            <w:webHidden/>
            <w:sz w:val="16"/>
            <w:szCs w:val="16"/>
          </w:rPr>
          <w:t>2</w:t>
        </w:r>
      </w:hyperlink>
      <w:r w:rsidR="00F05C9B" w:rsidRPr="00653014">
        <w:rPr>
          <w:rStyle w:val="a3"/>
          <w:color w:val="auto"/>
          <w:sz w:val="16"/>
          <w:szCs w:val="16"/>
        </w:rPr>
        <w:t>7</w:t>
      </w:r>
      <w:r w:rsidR="00F05C9B" w:rsidRPr="00653014">
        <w:rPr>
          <w:rStyle w:val="a3"/>
          <w:sz w:val="16"/>
          <w:szCs w:val="16"/>
        </w:rPr>
        <w:t xml:space="preserve"> </w:t>
      </w:r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21" w:anchor="_Toc402354617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6.2 Կենդանիների կերակրման և կերերի հաշվեկշիռ</w:t>
        </w:r>
        <w:r w:rsidR="00F05C9B" w:rsidRPr="00653014">
          <w:rPr>
            <w:rStyle w:val="a3"/>
            <w:webHidden/>
            <w:sz w:val="16"/>
            <w:szCs w:val="16"/>
          </w:rPr>
          <w:tab/>
        </w:r>
      </w:hyperlink>
      <w:r w:rsidR="00F05C9B" w:rsidRPr="00653014">
        <w:rPr>
          <w:rStyle w:val="a3"/>
          <w:color w:val="auto"/>
          <w:sz w:val="16"/>
          <w:szCs w:val="16"/>
        </w:rPr>
        <w:t>29</w:t>
      </w:r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22" w:anchor="_Toc402354618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7. Խոշոր և մանր եղջերավոր կենդանիների արածեցման համակարգ</w:t>
        </w:r>
        <w:r w:rsidR="00F05C9B" w:rsidRPr="00653014">
          <w:rPr>
            <w:rStyle w:val="a3"/>
            <w:webHidden/>
            <w:sz w:val="16"/>
            <w:szCs w:val="16"/>
          </w:rPr>
          <w:tab/>
          <w:t>30</w:t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23" w:anchor="_Toc402354619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8.Մսուրային շրջանում կուտակվող կերեր, խոտի ապահովածությունը</w:t>
        </w:r>
        <w:r w:rsidR="00F05C9B" w:rsidRPr="00653014">
          <w:rPr>
            <w:rStyle w:val="a3"/>
            <w:webHidden/>
            <w:sz w:val="16"/>
            <w:szCs w:val="16"/>
          </w:rPr>
          <w:tab/>
          <w:t>36</w:t>
        </w:r>
      </w:hyperlink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24" w:anchor="_Toc402354620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9.Արտաբույնք համայնքում արոտատեղամասերի բաշխվածության քարտեզ</w:t>
        </w:r>
        <w:r w:rsidR="00F05C9B" w:rsidRPr="00653014">
          <w:rPr>
            <w:rStyle w:val="a3"/>
            <w:webHidden/>
            <w:sz w:val="16"/>
            <w:szCs w:val="16"/>
          </w:rPr>
          <w:tab/>
          <w:t xml:space="preserve"> 3</w:t>
        </w:r>
      </w:hyperlink>
      <w:r w:rsidR="00F05C9B" w:rsidRPr="00653014">
        <w:rPr>
          <w:rStyle w:val="a3"/>
          <w:color w:val="auto"/>
          <w:sz w:val="16"/>
          <w:szCs w:val="16"/>
        </w:rPr>
        <w:t>8</w:t>
      </w:r>
    </w:p>
    <w:p w:rsidR="00F05C9B" w:rsidRPr="00653014" w:rsidRDefault="00653014" w:rsidP="00F05C9B">
      <w:pPr>
        <w:pStyle w:val="11"/>
        <w:rPr>
          <w:rFonts w:ascii="Calibri" w:eastAsia="Times New Roman" w:hAnsi="Calibri"/>
          <w:color w:val="auto"/>
          <w:spacing w:val="0"/>
          <w:sz w:val="16"/>
          <w:szCs w:val="16"/>
          <w:lang w:val="ru-RU" w:eastAsia="ru-RU"/>
        </w:rPr>
      </w:pPr>
      <w:hyperlink r:id="rId25" w:anchor="_Toc402354621" w:history="1">
        <w:r w:rsidR="00F05C9B" w:rsidRPr="00653014">
          <w:rPr>
            <w:rStyle w:val="a3"/>
            <w:rFonts w:ascii="Sylfaen" w:hAnsi="Sylfaen" w:cs="Sylfaen"/>
            <w:sz w:val="16"/>
            <w:szCs w:val="16"/>
          </w:rPr>
          <w:t>10.Արտաբույնք համայնքում արոտատեղամասերի արածեցման գրաֆիկ</w:t>
        </w:r>
        <w:r w:rsidR="00F05C9B" w:rsidRPr="00653014">
          <w:rPr>
            <w:rStyle w:val="a3"/>
            <w:webHidden/>
            <w:sz w:val="16"/>
            <w:szCs w:val="16"/>
          </w:rPr>
          <w:tab/>
          <w:t>42</w:t>
        </w:r>
      </w:hyperlink>
    </w:p>
    <w:p w:rsidR="00F05C9B" w:rsidRPr="00653014" w:rsidRDefault="00F05C9B" w:rsidP="00F05C9B">
      <w:pPr>
        <w:spacing w:line="360" w:lineRule="auto"/>
        <w:rPr>
          <w:sz w:val="16"/>
          <w:szCs w:val="16"/>
        </w:rPr>
      </w:pPr>
      <w:r w:rsidRPr="00653014">
        <w:rPr>
          <w:sz w:val="16"/>
          <w:szCs w:val="16"/>
        </w:rPr>
        <w:fldChar w:fldCharType="end"/>
      </w:r>
    </w:p>
    <w:p w:rsidR="00F05C9B" w:rsidRPr="00653014" w:rsidRDefault="00F05C9B" w:rsidP="00F05C9B">
      <w:pPr>
        <w:pStyle w:val="1"/>
        <w:spacing w:before="0" w:after="0" w:line="360" w:lineRule="auto"/>
        <w:rPr>
          <w:sz w:val="16"/>
          <w:szCs w:val="16"/>
        </w:rPr>
      </w:pPr>
      <w:bookmarkStart w:id="0" w:name="_Toc402354604"/>
      <w:r w:rsidRPr="00653014">
        <w:rPr>
          <w:sz w:val="16"/>
          <w:szCs w:val="16"/>
        </w:rPr>
        <w:t xml:space="preserve">                                                      </w:t>
      </w:r>
    </w:p>
    <w:p w:rsidR="00F05C9B" w:rsidRPr="00653014" w:rsidRDefault="00F05C9B" w:rsidP="00F05C9B">
      <w:pPr>
        <w:pStyle w:val="1"/>
        <w:spacing w:before="0" w:after="0" w:line="360" w:lineRule="auto"/>
        <w:rPr>
          <w:sz w:val="16"/>
          <w:szCs w:val="16"/>
        </w:rPr>
      </w:pPr>
    </w:p>
    <w:p w:rsidR="00F05C9B" w:rsidRPr="00653014" w:rsidRDefault="00F05C9B" w:rsidP="00F05C9B">
      <w:pPr>
        <w:pStyle w:val="1"/>
        <w:spacing w:before="0" w:after="0" w:line="360" w:lineRule="auto"/>
        <w:rPr>
          <w:sz w:val="16"/>
          <w:szCs w:val="16"/>
        </w:rPr>
      </w:pPr>
    </w:p>
    <w:p w:rsidR="00F05C9B" w:rsidRPr="00653014" w:rsidRDefault="00F05C9B" w:rsidP="00F05C9B">
      <w:pPr>
        <w:pStyle w:val="1"/>
        <w:spacing w:before="0" w:after="0" w:line="360" w:lineRule="auto"/>
        <w:rPr>
          <w:sz w:val="16"/>
          <w:szCs w:val="16"/>
        </w:rPr>
      </w:pPr>
    </w:p>
    <w:p w:rsidR="00F05C9B" w:rsidRPr="00653014" w:rsidRDefault="00F05C9B" w:rsidP="00F05C9B">
      <w:pPr>
        <w:pStyle w:val="1"/>
        <w:spacing w:before="0" w:after="0" w:line="360" w:lineRule="auto"/>
        <w:rPr>
          <w:sz w:val="16"/>
          <w:szCs w:val="16"/>
        </w:rPr>
      </w:pPr>
    </w:p>
    <w:p w:rsidR="00F05C9B" w:rsidRPr="00653014" w:rsidRDefault="00F05C9B" w:rsidP="00F05C9B">
      <w:pPr>
        <w:pStyle w:val="1"/>
        <w:spacing w:before="0" w:after="0" w:line="360" w:lineRule="auto"/>
        <w:rPr>
          <w:sz w:val="16"/>
          <w:szCs w:val="16"/>
        </w:rPr>
      </w:pPr>
    </w:p>
    <w:p w:rsidR="00F05C9B" w:rsidRPr="00653014" w:rsidRDefault="00F05C9B" w:rsidP="00F05C9B">
      <w:pPr>
        <w:pStyle w:val="1"/>
        <w:tabs>
          <w:tab w:val="left" w:pos="6345"/>
        </w:tabs>
        <w:spacing w:before="0" w:after="0" w:line="360" w:lineRule="auto"/>
        <w:rPr>
          <w:b w:val="0"/>
          <w:sz w:val="16"/>
          <w:szCs w:val="16"/>
        </w:rPr>
      </w:pPr>
      <w:r w:rsidRPr="00653014">
        <w:rPr>
          <w:sz w:val="16"/>
          <w:szCs w:val="16"/>
        </w:rPr>
        <w:t xml:space="preserve"> </w:t>
      </w:r>
      <w:bookmarkEnd w:id="0"/>
      <w:r w:rsidRPr="00653014">
        <w:rPr>
          <w:b w:val="0"/>
          <w:sz w:val="16"/>
          <w:szCs w:val="16"/>
        </w:rPr>
        <w:t>2</w:t>
      </w:r>
      <w:r w:rsidRPr="00653014">
        <w:rPr>
          <w:b w:val="0"/>
          <w:sz w:val="16"/>
          <w:szCs w:val="16"/>
        </w:rPr>
        <w:tab/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sz w:val="16"/>
          <w:szCs w:val="16"/>
        </w:rPr>
      </w:pPr>
      <w:r w:rsidRPr="00653014">
        <w:rPr>
          <w:rFonts w:ascii="Sylfaen" w:hAnsi="Sylfaen"/>
          <w:sz w:val="16"/>
          <w:szCs w:val="16"/>
        </w:rPr>
        <w:t xml:space="preserve">        </w:t>
      </w:r>
    </w:p>
    <w:p w:rsidR="00F05C9B" w:rsidRPr="00653014" w:rsidRDefault="00F05C9B" w:rsidP="00F05C9B">
      <w:pPr>
        <w:numPr>
          <w:ilvl w:val="0"/>
          <w:numId w:val="2"/>
        </w:num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Ներածություն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Արտաբույնք համայնքն ունի 1162 բնակիչ և 414 տնային տնտեսություն: Համայնքը գտնվում է ՀՀ Վայոց Ձորի մարզի Եղեգնաձորի տարածաշրջանում: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Համայնքում հիմնական զբաղվածությունը դաշտավարությունն ու անասնապահությունն են, որոշ տնտեսություններ զբաղվում են նաև այգեգործությամբ: Անասնապահության ոլորտում տնտեսություն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 և խոզաբուծությամբ: Համաձայն գյուղապետարանի տրամադրած տեղեկատվության (Տեղեկանք անասնագլխաքանակի և սեռահասակային կազմի վերաբերյալ), առ 28.06.2016թ. համայնքում հաշվառված է 734 գլուխ տարբեր սեռահասակային խմբերի խոշոր եղջերավոր, 42 գլուխ մանր եղջերավոր (ոչխար, գառներ և այծեր) և 108 գլուխ խոզեր: Արտաբույնք համայնքում 2015 թ. արտադրվել է մոտ 28000 կգ տավարի,  300 կգ ոչխարի և 4500 կգ խոզի միս, (տվյալները հիմնավորվում են նախորդ և ընթացիկ  տարիների ընթացքում գյուղապետարանի կողմից համայնքում ըստ տեսակային կազմերի հաշվառված  անասնագլխի քանակային ցուցանիշի  փոփոխությամբ, պայմանավորված իրացված անասնագլխով), (Տեղեկանք արտադրված մսի ընդհանուր քանակի և կովերի կաթնատվության վերաբերյալ) : Համայնքում խոշոր եղջերավորի (կովերի)  պահվացքով զբաղվող տնտեսություններից  10 %-ի (14 տնտեսություն)   հետ հարցումներով պարզվել է, որ մեկ կովի տարեկան միջին միջին կաթնատվությունը  կազմում է միջինը 1600 լիտր, համաձայն այս ցուցանիշի համայնքում արտադրվել է շուրջ 372800 (233 կով x 1600 լիտր) լիտր կաթ: Ձևավորված անասնաբուծական արտադրանքի որոշ մասը սպառվում է համայնքում, իսկ  մեծ մասը վաճառվում է համայնքից դուրս, տարբեր շուկաներում և մթերող կազմակերպություններին: Համայնքում անասնապահական մթերքների արտադրու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թյան արտադրական ներուժը ներկայում բավականին ցածր է: Նախատեսվում է բնական կերահանդակների կայուն կառավարման կարգի ներդրման միջոցով բարելավել արոտային շրջանում անասնաբուծության ոլոտի կերապահովման խնդիրները, բարձրացնելով կովերի միջին կաթ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նատ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վությունը` մինչև 18-20 %-ով, իսկ արտադրվող մսի քանակությունը շուրջ  18-20 %-ով (6232 կգ):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Վերջին տարիների ընթացքում Հայաստանի կառավարությունը պատշաճ ուշադրություն է դարձնում գյուղական համայնքներում առկա բազմաթիվ  խնդիրներին, այդ թվում նաև անասնապահության ոլորտի զարգացմանը, որի վկայությունն է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Համաշխարային Բանկի համաֆինանսավորմամբ բնական կերահանդակների կայուն կառավարման ու բարելավմանն ուղղված սույն ծրագրի սահմաններում կատարվող աշխատանքները: Առաջարկվող արոտների կայուն կառավարման համակարգի ներդնումը անհրաժեշտ ենթակառուցվածքների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 ֆերմերային տնտեսությունների եկամուտների բարձրացմանը: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1" w:name="_Toc402354605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2. Արտաբույնք համայնքի գյուղատնտեսական նշանակության հողերի        կառուցվածքը և սեփականության ձևերը</w:t>
      </w:r>
      <w:bookmarkEnd w:id="1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Արտաբույնք համայնքի հողային ֆոնդի առկայության և բաշխման մասին հաշվետվության (ձև 22), համայնքի վարչական տարածքը զբաղեցնում է շուրջ 3255.87 հեկտար, որտեղ ըստ նպատակային նշանակության գյուղատնտեսական հողատեսքերը, ներառյալ տնամերձ հողեր, կազմում են 3118.34 + 82.79 = 3201.13 հա (աղ. 1): Գյուղատնտեսական նշանակության հողատեսքերի մեծ մասը` (մոտ 68.58 %) հանդիսանում է համայնքային սեփականություն, 6.07 % համայնքի բնակիչների սեփականություն և 25.35 % պետական սեփականություն: Ըստ գործառնական նշանակության գյուղատնտեսական հողատեսքերի գերակշիռ մասը՝ 54.05 %-ը կազմում են բնական արոտները, որոնց զգալի մասը (66.65 %) հեռագնա են: Ինչպես ցույց կտրվի ստորև, արոտի նպատակով է մասամբ օգտագործվում նաև շուրջ 1219.66 հա այլ հողատեսքերի բուսածածկը: </w:t>
      </w:r>
    </w:p>
    <w:p w:rsidR="00F05C9B" w:rsidRPr="00653014" w:rsidRDefault="00F05C9B" w:rsidP="00F05C9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Արտաբույնք համայնքում առկա է 1685.45 հա արոտային տարածքներ, իսկ խոշոր և մանր եղջերավոր անասունների քանակը, ինչպես ցույց կտրվի հետագայում (աղյուսակ 11), կազմում է 486 պայմանական գլուխ (ՊԳ), այսինքն 1 ՊԳ-ին համայնքում առկա է շուրջ 3.5 հա արոտային տարածք, որը ավելի բարձր ցուցանիշ է համեմատած “Արոտների և խոտհարքների օգտագործման կարգի” վերաբերյալ ՀՀ Կառավարության 2011թ. № 389-ն որոշմամբ նախատեսված նորմատիվի հետ: Այսինքն, համայնքում առկա են բավարար հնարավորություններ կայուն անասնապահություն վարելով անասնագլխաքանակն ավելացնելու և մթերատու ցուցանիշները բարձրացնելու համար: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 Աղյուսակ 1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Արտաբույնք համայնքում</w:t>
      </w:r>
    </w:p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1136"/>
        <w:gridCol w:w="1483"/>
        <w:gridCol w:w="2123"/>
        <w:gridCol w:w="1720"/>
        <w:gridCol w:w="1380"/>
      </w:tblGrid>
      <w:tr w:rsidR="00F05C9B" w:rsidRPr="00653014" w:rsidTr="00F05C9B">
        <w:trPr>
          <w:jc w:val="center"/>
        </w:trPr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Գյուղատնտեսական հողատեսքեր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6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F05C9B" w:rsidRPr="00653014" w:rsidTr="00F05C9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ՀՀ իրավաբանական անձանց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6.87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5.47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1.40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տնկարկ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9.38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9.38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196.98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174.37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22.61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1685.45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1136.73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548.69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562.08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562.05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հեռագնա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1123.37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 -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574.68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548.69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տնամերձ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82.79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82.79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 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 -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1219.66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977.76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241.90</w:t>
            </w:r>
          </w:p>
        </w:tc>
      </w:tr>
      <w:tr w:rsidR="00F05C9B" w:rsidRPr="00653014" w:rsidTr="00F05C9B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3201.13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272.04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2138.50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790.59</w:t>
            </w:r>
          </w:p>
        </w:tc>
      </w:tr>
    </w:tbl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" w:name="_Toc402354606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3. Համայնքի անասնագլխաքանակն ըստ տնտեսությունների և անասնակերի պահանջը</w:t>
      </w:r>
      <w:bookmarkEnd w:id="2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Հայաստանի հանրապետության բոլոր համայնքներում, Արտաբույնք համայնքում նույնպես հիմնականում բուծվում են խոշոր եղջերավորի (ԽԵԱ)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ուղղություններով: Կենդանիներն ապահովում են համայնքի տնտեսությունների, ինչպես նաև քաղաքային բնակչության մասնակի պահանջարկը կաթնամթերքի և մսամթերքի նկատմամբ: Ըստ գյուղապետարանի տեղեկատվության, համայնքում շուրջ 144 տնտեսություններ զբաղված են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խոշոր եղջերավոր անասունների (ԽԵԱ)  պահվածքով, 1 տնտեսություն նաև մանր եղջերավոր անասունների (ՄԵԱ), մասնավորապես Բալբաս և  կիսակոպտաբուրդ ցեղատեսակներին պատկանող ոչխարների, ինչպես նաև այծերի պահվածքով, բացի այդ 11 տնտեսություններ զբաղվում են նաև խոզաբուծությամբ: Այսպիսով, համայնքում առկա է 734 գլուխ ԽԵԱ և 42 գլուխ ՄԵԱ` ոչխար և գառներ, որոնք կերակրվում են համայնքի վարչական տարածքում առկա արոտավայրերից և այլ ընտրանքային կերապահովման տարածքներից ստացվող կանաչ զանգվածով և չոր խոտով: Խոզերի համար կերերի հիմնական աղբյուր է հանդիսանում ցորենի թեփը, կաթի շիճուկը և գարին: Աղյուսակ 2-ում բերված է համայնքի անասնագլխաքանակի բաշխվածությունն ըստ տնային տնտեսությունների, որը ցույց է տալիս, որ տնտեսությունների գերակշիռ մեծամասնությունը ունի մինչև 1-5 գլուխ ԽԵԱ: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Տարբեր տարիներին համայնքում հաշվառված անասնագլխի տվյալների ուսումնասիրումով պարզվել է, որ վերջին տարիների ընթացքում որոշ տնային տնտեսութուններում տեղի է ունենում ԽԵԱ-ի գլխաքանակի աստիճանական ավելացում: Համայնքում 6-10 գլուխ ԽԵԱ ունեն տնտեսությունների 21.5 %-ը (աղ. 2):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հարցազրույցներից պարզվել է, որ մսուրային շրջանին անհրաժեշտ որակյալ կերի կայուն բազայի ստեղծման հիմնական խոչընդոտների հաղթահարումից հետո`անմշակ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ներդրման և արդյունավետ օգտագործմանն անհրաժեշտ ենթակառուցվածքների (ջրելատեղ, մակատեղ, ճանապարհներ) ստեղծումով արոտների օգտագործման հնարավորությունների և հասանելիության մեծացումը, էականորեն նպաստելու են համայնքում անասնապահության ոլորտի հետագա զարգացման, անասնագլխաքանակի ավելացման և անասնապահությամբ զբաղվող տնտեսությունների քանակի ու եկամուտների ավելացմանը:                               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Աղյուսակ 2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544"/>
        <w:gridCol w:w="1717"/>
        <w:gridCol w:w="1560"/>
        <w:gridCol w:w="1701"/>
        <w:gridCol w:w="1549"/>
      </w:tblGrid>
      <w:tr w:rsidR="00F05C9B" w:rsidRPr="00653014" w:rsidTr="00F05C9B">
        <w:trPr>
          <w:trHeight w:val="492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ԽԵԱ քանակը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ՄԵԱ քանակը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Խոզերի քանակը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</w:tr>
      <w:tr w:rsidR="00F05C9B" w:rsidRPr="00653014" w:rsidTr="00F05C9B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107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</w:t>
            </w:r>
          </w:p>
        </w:tc>
      </w:tr>
      <w:tr w:rsidR="00F05C9B" w:rsidRPr="00653014" w:rsidTr="00F05C9B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F05C9B" w:rsidRPr="00653014" w:rsidTr="00F05C9B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</w:t>
            </w:r>
          </w:p>
        </w:tc>
      </w:tr>
      <w:tr w:rsidR="00F05C9B" w:rsidRPr="00653014" w:rsidTr="00F05C9B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 և ավելի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 և ավելի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 և ավելի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F05C9B" w:rsidRPr="00653014" w:rsidTr="00F05C9B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</w:t>
            </w:r>
          </w:p>
        </w:tc>
      </w:tr>
    </w:tbl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bookmarkStart w:id="3" w:name="_Toc402354607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3.1 Անասնակերի պահանջի հաշվարկ</w:t>
      </w:r>
      <w:bookmarkEnd w:id="3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2.5 %-ի չափով չոր բուսազանգված (ՉԶ): Կերի պահանջը հաշվարկվում են հիմնվելով բույսի ՉԶ-ի վրա, որն ապահովում է ճշգրիտ տվյալներ, քանի որ այստեղ վերանում է վեգետացիայի ընթացքում կանաչ զանգվածում տեղի ունեցող խոնավության փոփոխության հետ կապված հնարավոր սխալը զանգված հաշվարկելիս: Հիմնվելով այս մեթոդին հաշվարկվել է համայնքում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 համար,  որն ամփոփված է աղյուսակ 3-ում: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համայնքի պայմաններում, խոշոր եղջերավորի արոտային շրջանը կազմում է շուրջ 200 օր (ապրիլի երրորդ տասնօրյակից մինչև նոյեմբերի երկրորդ տասնօրյակը), իսկ մանր եղջերավորի (ոչխարի) արոտային շրջանը կազմում է 250 օր (մարտի երրորդ տասնօրյակից մինչև դեկտեմբերի առաջին տասնօրյակը): Ինչպես երևում է աղյուսակ  3-ում բերված տվյալներից, համայնքի որոճող գյուղ.կենդանիների ՉԶ-ի ընդհանուր օրական պահանջը կազմում է 4851.9 կգ, որի 98.2 %-ը բաժին է ընկնում խոշոր եղջերավոր կենդանիներին: Արոտային շրջանում առկա անասնագլխի արոտակերի պահանջը կազմում </w:t>
      </w:r>
      <w:r w:rsidRPr="00653014">
        <w:rPr>
          <w:rFonts w:ascii="Sylfaen" w:hAnsi="Sylfaen" w:cs="Calibri"/>
          <w:sz w:val="16"/>
          <w:szCs w:val="16"/>
        </w:rPr>
        <w:t xml:space="preserve">974253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կգ, (974.3 տ), իսկ մսուրային ժամանակահատվածի համար </w:t>
      </w:r>
      <w:r w:rsidRPr="00653014">
        <w:rPr>
          <w:rFonts w:ascii="Sylfaen" w:hAnsi="Sylfaen" w:cs="Calibri"/>
          <w:sz w:val="16"/>
          <w:szCs w:val="16"/>
        </w:rPr>
        <w:t xml:space="preserve">796690.5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կգ, (796.7 տ):</w:t>
      </w:r>
    </w:p>
    <w:p w:rsidR="00F05C9B" w:rsidRPr="00653014" w:rsidRDefault="00F05C9B" w:rsidP="00F05C9B">
      <w:pPr>
        <w:spacing w:line="360" w:lineRule="auto"/>
        <w:ind w:firstLine="709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F05C9B" w:rsidRPr="00653014" w:rsidRDefault="00F05C9B" w:rsidP="00F05C9B">
      <w:pPr>
        <w:spacing w:line="360" w:lineRule="auto"/>
        <w:ind w:firstLine="709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Համայնքի անասնագլխին պահանջվող չոր զանգվածի (ՉԶ-խոտի) հաշվարկ 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(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մարմնի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կշիռ x 0.025)</w:t>
      </w:r>
    </w:p>
    <w:tbl>
      <w:tblPr>
        <w:tblW w:w="10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109"/>
        <w:gridCol w:w="1153"/>
        <w:gridCol w:w="1250"/>
        <w:gridCol w:w="1049"/>
        <w:gridCol w:w="2026"/>
        <w:gridCol w:w="2037"/>
      </w:tblGrid>
      <w:tr w:rsidR="00F05C9B" w:rsidRPr="00653014" w:rsidTr="00F05C9B">
        <w:trPr>
          <w:trHeight w:val="392"/>
          <w:jc w:val="center"/>
        </w:trPr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lastRenderedPageBreak/>
              <w:t xml:space="preserve">       Գյուղ.</w:t>
            </w:r>
          </w:p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 xml:space="preserve">Մարմնի միջին կշիռ,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կգ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 xml:space="preserve">1-գլխի ՉԶ-ի պահանջ, կգ/օր </w:t>
            </w: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 կգ</w:t>
            </w:r>
          </w:p>
        </w:tc>
      </w:tr>
      <w:tr w:rsidR="00F05C9B" w:rsidRPr="00653014" w:rsidTr="00F05C9B">
        <w:trPr>
          <w:trHeight w:val="3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 xml:space="preserve">Արոտային շրջանում 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 xml:space="preserve">Մսուրային շրջանում </w:t>
            </w:r>
          </w:p>
        </w:tc>
      </w:tr>
      <w:tr w:rsidR="00F05C9B" w:rsidRPr="00653014" w:rsidTr="00F05C9B">
        <w:trPr>
          <w:trHeight w:val="1191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</w:rPr>
              <w:t>Ա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Ե</w:t>
            </w:r>
            <w:r w:rsidRPr="00653014">
              <w:rPr>
                <w:rFonts w:eastAsia="Times New Roman"/>
                <w:bCs w:val="0"/>
                <w:spacing w:val="0"/>
                <w:sz w:val="16"/>
                <w:szCs w:val="16"/>
                <w:lang w:eastAsia="ru-RU" w:bidi="he-IL"/>
              </w:rPr>
              <w:t>=</w:t>
            </w: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 Բx Դ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  <w:p w:rsidR="00F05C9B" w:rsidRPr="00653014" w:rsidRDefault="00F05C9B">
            <w:pPr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653014"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Ե x արած. օր,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ԽԵԱ </w:t>
            </w:r>
            <w:r w:rsidRPr="00653014"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200 օր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ՄԵԱ </w:t>
            </w:r>
            <w:r w:rsidRPr="00653014"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-220- 250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օր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</w:t>
            </w:r>
          </w:p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653014"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  մսուր.օր, </w:t>
            </w:r>
          </w:p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(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ԽԵԱ</w:t>
            </w:r>
            <w:r w:rsidRPr="00653014"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-165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օր)</w:t>
            </w:r>
          </w:p>
          <w:p w:rsidR="00F05C9B" w:rsidRPr="00653014" w:rsidRDefault="00F05C9B">
            <w:pPr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ՄԵԱ</w:t>
            </w:r>
            <w:r w:rsidRPr="00653014">
              <w:rPr>
                <w:rFonts w:eastAsia="Times New Roma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-115-145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օր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F05C9B" w:rsidRPr="00653014" w:rsidTr="00F05C9B">
        <w:trPr>
          <w:trHeight w:val="31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ԽԵԱ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2330.0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466000.0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384450.0</w:t>
            </w:r>
          </w:p>
        </w:tc>
      </w:tr>
      <w:tr w:rsidR="00F05C9B" w:rsidRPr="00653014" w:rsidTr="00F05C9B">
        <w:trPr>
          <w:trHeight w:val="31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ԽԵԱ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1110.0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222000.0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183150.0</w:t>
            </w:r>
          </w:p>
        </w:tc>
      </w:tr>
      <w:tr w:rsidR="00F05C9B" w:rsidRPr="00653014" w:rsidTr="00F05C9B">
        <w:trPr>
          <w:trHeight w:val="31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577.5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115500.0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95287.5</w:t>
            </w:r>
          </w:p>
        </w:tc>
      </w:tr>
      <w:tr w:rsidR="00F05C9B" w:rsidRPr="00653014" w:rsidTr="00F05C9B">
        <w:trPr>
          <w:trHeight w:val="31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522.0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104400.0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86130.0</w:t>
            </w:r>
          </w:p>
        </w:tc>
      </w:tr>
      <w:tr w:rsidR="00F05C9B" w:rsidRPr="00653014" w:rsidTr="00F05C9B">
        <w:trPr>
          <w:trHeight w:val="31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ԽԵԱ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127.5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25500.0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21037.5</w:t>
            </w:r>
          </w:p>
        </w:tc>
      </w:tr>
      <w:tr w:rsidR="00F05C9B" w:rsidRPr="00653014" w:rsidTr="00F05C9B">
        <w:trPr>
          <w:trHeight w:val="31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100.0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20000.0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16500.0</w:t>
            </w:r>
          </w:p>
        </w:tc>
      </w:tr>
      <w:tr w:rsidR="00F05C9B" w:rsidRPr="00653014" w:rsidTr="00F05C9B">
        <w:trPr>
          <w:trHeight w:val="31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27.5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6875.0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3162.5</w:t>
            </w:r>
          </w:p>
        </w:tc>
      </w:tr>
      <w:tr w:rsidR="00F05C9B" w:rsidRPr="00653014" w:rsidTr="00F05C9B">
        <w:trPr>
          <w:trHeight w:val="34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12.4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2728.0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1798.0</w:t>
            </w:r>
          </w:p>
        </w:tc>
      </w:tr>
      <w:tr w:rsidR="00F05C9B" w:rsidRPr="00653014" w:rsidTr="00F05C9B">
        <w:trPr>
          <w:trHeight w:val="37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350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45.0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11250.0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5175.0</w:t>
            </w:r>
          </w:p>
        </w:tc>
      </w:tr>
      <w:tr w:rsidR="00F05C9B" w:rsidRPr="00653014" w:rsidTr="00F05C9B">
        <w:trPr>
          <w:trHeight w:val="375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781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4851.9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974253.0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796690.5</w:t>
            </w:r>
          </w:p>
        </w:tc>
      </w:tr>
    </w:tbl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Ծանոթություն` գառների արոտային շրջանը կազմում է 220օր, մսուրայինը` 145օր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" w:name="_Toc402354608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4. Համայնքի     ֆիզիկաաշխարհագրական</w:t>
      </w:r>
      <w:bookmarkStart w:id="5" w:name="_Toc402354609"/>
      <w:bookmarkEnd w:id="4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առանձնահատկությունները</w:t>
      </w:r>
      <w:bookmarkEnd w:id="5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Արտաբույնք համայնքը աշխարհագրական տեղադրվածությամբ գտնվում է ՀՀ Վայոց Ձոր մարզի Եղեգնաձորի տարածաշրջանում, ծովի մակարդակից շուրջ 1480 մ բարձրության վրա, Եղեգիս գետի հովտում: Համայնքի վարչական տարածքը տարածված է Վարդենիսի  լեռների  հարավ-արևմտյան կողմնադրման լանջերի ցածրադիր, միջին և վերին բարձրության սարավանդներում, ծովի մակարդակից 1312 մ-ից մինչև 3248 մ բարձրությունները: Համայնքի վարչական տարածքում արոտավայրերը տարածված են ծովի մակարդակից 1345 մ-ից մինչև 3248 մ բարձրությունները, ներառնվելով հետևյալ բնական լանդշաֆտային գոտիներում՝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ա)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չոր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տափաստանային ցածրալեռնային   գոտի         (ծ.մ.1200-1600 մ),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բ)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լեռնատա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փաս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տանային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գոտի                                       (ծ.մ.1600-2000 մ),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գ)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լեռնամարգագետնատափաստանային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գոտի              (ծ.մ.2000-2300 մ),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դ)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բարձրլեռնային գոտի                              ( ծ.մ.2300-2700 մ),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դ)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ալպյան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                                  ( ծ.մ.2700-3500 մ):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Տարածքում ձևավորված հողերի համար, որպես մայրական տեսակներ են հանդիսացել հրաբխածին և նստվածքային ապարները` հիմնականում անդեզիտո-բազալտային, անդեզիտային, տուֆային առավել սակավ՝ թերթաքարային կվարցերը, գրանիտները և տրավերտինները: Սրանց հողմնհարման արդյունքում ձևավորված տարրերը առավելապես դելյուվիալ, դելյուվիալ-պրոլյուվիալ, ալյուվիալ-պրոլյուվիալ գետահունային բերվածքների, ինչպես նաև մայրական ապարների լերկացման տեսքով առաջացրել են գենետիկական նստվածքներ, որոնցից և ձևավորվել են ներկայիս հողատիպերը (գորշ անտառային խճաքարային, տիպիկ մարգագետնատափաստանային, լեռնամարգագետնային թույլ և ուժեղ ճմակալած, լեռնամարգագետնային ճմատորֆային և դարչնագույն  հողեր): Հողերի քարքարոտվածությունը ցածրադիր մասերւոմ բարձր է և կազմում է 30-50 %, իսկ ավելի բարձրադիր մասերում կազմում է 10-30 %: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ա) Չոր տափաստանային ցածրալեռնային գոտին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է 1200 - 1600 մ բարձրություններում և ընդգրկում է Վարդենիսի լեռների հարավ արևմտյան կողմնադրման լանջերի առավել ցածրադիր հատվածները՝ Եղեգիս գետի և նրա Էլեգիս վտակի մերձափյա հատվածները: Չնայած բարձրության զգալի տարբերություններին, այս գոտու ֆիզիկաաշխարհա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գրական պայմանները բավականին համասեռ են: Համարյա ամենուրեք գերակշռում են լեռնաքարքարոտ չոր տափաստանները լեռնաչորասեր (ֆրիգանոիդ) բուսականությամբ: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Կլիմայական պայմանները չոր ցամաքային են, ոռոգովի երկրագործությամբ նպաստավոր են բնական և կուլտուրական ջերմասեր բուսականության համար: Ամառային շրջանում օդի միջին ջերմաստիճանը կազմում է 22-24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C: Մթնոլորտային տեղումները չեն գերազանցում 350-400 մմ, ուստի արհեստական ոռոգումն դաշտավարության ոլորտում խիստ անհրաժեշտ է: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Գոտու մինչև 1600 մ բարձրությունները տարածված հողատեսակը՝ գորշ անտառային միջին հզորության հողերն են (0-20 սմ հաստությամբ հողի վերին շերտում հումոսի պարունակությունը կազմում է 2-4 %-ը):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Բնական խոտածածկույթը ցածրահասակ է, նոսր: Բուսակացքը հիմնականում բաղկացած է քսերոֆիտ և քսերոմեզոֆիտ տեսակային կազմերից, զգալի է էֆեմերային և էֆեմերոիդդային բուսականության տարածվածությունը, որոնք ամառային դեպրեսիայի ժամանակահատվածում հարաբերականորեն դադարեցնում են աճեցողությունը: Խոտածածկում համարյա թե բացակայում են բարձր կերային արժեք ունեցող բակլազգիները, բացառությամբ քիչ արդյունավետ աստրագալային տարբեր տեսակներից: Հաճախ հանդիպող բույսերից են ուրցը, ցորնուկը, դաշտավլուկը, սիզախոտը, անմոռուկը, հազարատերևուկը, տարբեր օշինդրերը, իշակաթնուկը, երինջակը, տարբեր շյուղախոտեր, փետրախոտերը, խռնդատը և այլն: Հիմնականում ձևավորված է փետրախոտային և սիզախոտային քիչ արդյունավետ բուսականություն: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բ) Լեռնատափաստանային   գոտին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ընդգրկում է Վարդենիսի լեռների հարավ արևմտյան կողմնադրման լանջերի ցածրադիր հատվածները և հարակից լեռնային սարավանդները, ծովի մակարդակից մինչև 2000 մ. բարձրությամբ: Կլիման բարեխառն լեռնային է, տաք ամառ և ցուրտ ձմեռ, կայուն ձնածածկույթով: Ամառը համեմատաբար շոգ և չորային է, ձմեռը ցուրտ: Ամենաբարձր դրական ջերմաստիճանը ամռանը կազմում է +35,0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իսկ ամենացուրտ եղանակը գրանցվում է հունվար ամսին, միջինը -18-22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Մթնոլորտային տեղումների տարեկան քանակը կազմում է 400-450 մմ: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Հողային ֆոնդը բաղկացած է հիմնականում միջին հզորությամբ գորշ անտառային հողերից` մինչև 3-5 % հումուսի պարունակությամբ: Մեծ թեքությամբ լանջերին հանդիպում են քարային կուտակումներ, առանձին հատվածներում մայրական ապարների ելքեր ժայռերի տեսքով: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Լանդշաֆտային բուսածածկը բաղկացած է հիմնականում լեռնատափաստանային, համակեցություններից: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գ) Լեռնամարգագետնատափաստանային   գոտին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ընդգրկում էՎարդենիսի լեռնաշխթայի միջին բարձրությամբ լանջերը: Կլիման բարեխառը լեռնային է, համեմատաբար զով ամառ՝ (հուլիսյան միջինը՝ 17-19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առավելագույնը +32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C), ցուրտ, խոնավ և տևական ձմեռ (հունվարյան միջինը՝ -7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C -ից -10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նվազագույնը -24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C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)՝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հաստատուն տևական ձնածածկույթով: Կլիմայական պայմանները լավ են արտահայտված: Մթնոլորտային տեղումների տարեկան քանակը կազմում է մինչև 450-600 մմ: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Բնական լանդշաֆտը գորշ հողատիպերով մարգատափաստաններ են: Մեծ թեքությամբ լանջերին հանդիպում են քարային և ժայռային զգալի գոյացություններ: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Մակերևույթային հոսքերը միջին արտահայտվածությամբ, առավել գերակշռում են ստորերկրյա հոսքերը: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Լեռնային համեմատաբար մեղմ կլիմայի պայմաններում, բնական լանդշաֆտներում օրգանական նյութի քայքայումը մինչև վերջ չի կատարվում, որի հետևանքով գոտուն բնորոշ մարգագետնատափաստանային  հողերում հումուսի պարունակությունը կազմում 4-6 %: Հողածածկը միջին և բարձր քարքարոտությամբ, արգավանդ հողաշերտը հաճախ գերազանցելում է 25-30սմ-ը: Բուսականությունը` հիմնականում փետրախոտաշյուղախոտային և դաշտավլուկազգի-տարախոտա-բակլազգի մարգագետնատափաստանային է: Բնական բուսածածկոցում ամենուրեք գերիշխում են տարբեր ժիտնյակներ, փետրախոտեր, շյուղախոտեր, ոզնախոտը, ցորնուկները, դաշտավլուկը, կելերյան, սեզը, սիզախոտը, իշառվույտը, սպիտակ , վարդագույն և կարմիր երեքնուկներ, դաշտամոլախոտային վիկերը, ուրցը, հազարատերևուկը, իշակաթնուկը, տարբեր օշինդրեր և այլն: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դ) Բարձրադիր լանջերի մերձալպյան լեռնամարգագետնային գոտի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, ընդգրկում է Վարդենիսի լեռնաշղթայի հարավային կողմնադրության բարձրադիր լանջերը՝ ծ.մ. 2300-2700 մ բարձրությունները: Բնական գործընթացներն այստեղ ընթանում են ցածր ջերմաստիճանների և համեմատաբար առատ խոնավության պայմաններում: Ձմեռն այստեղ տևական է (4-5 ամիս) և ձնառատ: Ձմռան ամիսներին օդի միջին ջերմաստիճանը -12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սևահողերով: Արգավանդ հողաշերտը հաճախ գերազանցելում է 30-35սմ-ը: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650-750 մմ: Գոտին բնութագրվում է բավականին բարձր բուսապատվածությամբ և հարուստ տեսակային կազմերով, հանդիպում են շուրջ 75-85 տեսակներ: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ե) Բարձր լեռնային ալպյան լեռնամարգագետնային գոտի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ընդգրկում է Վարդենիսի լեռնաշխթայի հարավ-արևմտյան կողմնադրության բարձրադիր լանջերը՝ 2700-3500 մ բարձրությունները: Բնական գործընթացներն այստեղ ընթանում են ցածր ջերմաստիճանի և առատ խոնավության պայմաններում: Ձմեռը տևական է 4.5-5 ամիս, ձնառատ: Ձմռանը օդի միջին ջերմաստիճանը -10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 է, նվազագույնը մինչև -34-36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ժամանակահատվածը 2.5-3 ամիս է: գոտին բնութագրվում է հիմնականում լեռնամարգագետնային ուժեղ ճմակալված, լեռնամարգագետնային ճմատորֆային և ճմակալված դարչնագույն մեծ հզորությամբ հողերի գերակշռությամբ: Բուսածածկը ցածր է 8-10 սմ բարձրությամբ, օժտված արագ աճեցողությամբ: Այս գոտու լանդշաֆտներում ձևավորված են ալպյան գորգերը, որոնք հաճախ խախտվում են ժայռերով և չինգիլներով: Բուսական ծածկոցի կազմը հիմնականում պայմանավորված է լանջերի դիրքադրումից և քարային կուտակումների միկրոպայմաններից: Գոտու արոտավայրերի որոշ մասը օգտագործվում է հեռագնա ճամբարային պահվածքով: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" w:name="_Toc402354610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4.1 Արոտատեղամասերի Էկոլոգիական գնահատում</w:t>
      </w:r>
      <w:bookmarkEnd w:id="6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Արտաբույնք համայնքի վարչական տարածքում   բնական արոտները կազմում են 1685.45 հա, ինչը բնականաբար կարևորագույն ռեսուրս է համայնքում անասնապահության ոլորտին անհրաժեշտ արոտային շրջանի կերապահովման խնդրի լուծման գործում: Համայնքի արոտավայրերը տարածված են վերը նշված լանդշաֆտային գոտիներում, որտեղ էականորեն տարբերվում են ինչպես բուսատեղի պայմանները, այնպես էլ ձևավորվող բուսածածկն ու բուսապատվածության աստիճանը (աղ.4):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Աղյուսակ 4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Տարբեր գոտիների արոտավայրերում առկա տարրեր և բուսապատվածություն (%)</w:t>
      </w:r>
    </w:p>
    <w:tbl>
      <w:tblPr>
        <w:tblpPr w:leftFromText="180" w:rightFromText="180" w:vertAnchor="text" w:tblpY="1"/>
        <w:tblOverlap w:val="never"/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3116"/>
        <w:gridCol w:w="851"/>
        <w:gridCol w:w="992"/>
        <w:gridCol w:w="1133"/>
        <w:gridCol w:w="992"/>
        <w:gridCol w:w="1133"/>
        <w:gridCol w:w="851"/>
        <w:gridCol w:w="850"/>
      </w:tblGrid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ind w:left="-5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տա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մասի 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41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Քարքա</w:t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softHyphen/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softHyphen/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softHyphen/>
              <w:t>րոտու</w:t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softHyphen/>
              <w:t>թյունը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Ժայռոտ տարածքներ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</w:p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Գրուն</w:t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softHyphen/>
              <w:t>տային ճանա</w:t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softHyphen/>
              <w:t>պարհ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ind w:right="-87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</w:p>
          <w:p w:rsidR="00F05C9B" w:rsidRPr="00653014" w:rsidRDefault="00F05C9B">
            <w:pPr>
              <w:ind w:right="-87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Բուսա</w:t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softHyphen/>
              <w:t>ծածկ տարածք</w:t>
            </w:r>
          </w:p>
          <w:p w:rsidR="00F05C9B" w:rsidRPr="00653014" w:rsidRDefault="00F05C9B">
            <w:pPr>
              <w:ind w:right="-87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B" w:rsidRPr="00653014" w:rsidRDefault="00F05C9B">
            <w:pPr>
              <w:ind w:right="-87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</w:p>
          <w:p w:rsidR="00F05C9B" w:rsidRPr="00653014" w:rsidRDefault="00F05C9B">
            <w:pPr>
              <w:ind w:right="-87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 xml:space="preserve">Լանդշաֆտային գոտի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B" w:rsidRPr="00653014" w:rsidRDefault="00F05C9B">
            <w:pPr>
              <w:ind w:right="-87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</w:p>
          <w:p w:rsidR="00F05C9B" w:rsidRPr="00653014" w:rsidRDefault="00F05C9B">
            <w:pPr>
              <w:ind w:right="-87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Ջրելատեղ</w:t>
            </w:r>
          </w:p>
        </w:tc>
      </w:tr>
      <w:tr w:rsidR="00F05C9B" w:rsidRPr="00653014" w:rsidTr="00F05C9B">
        <w:trPr>
          <w:trHeight w:val="36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color w:val="auto"/>
                <w:sz w:val="16"/>
                <w:szCs w:val="16"/>
              </w:rPr>
              <w:t>51.63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color w:val="auto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color w:val="auto"/>
                <w:sz w:val="16"/>
                <w:szCs w:val="16"/>
              </w:rPr>
              <w:t>2.5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color w:val="auto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color w:val="auto"/>
                <w:sz w:val="16"/>
                <w:szCs w:val="16"/>
              </w:rPr>
              <w:t>67.2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color w:val="auto"/>
                <w:sz w:val="16"/>
                <w:szCs w:val="16"/>
              </w:rPr>
              <w:t>1/2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66.5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Ղռերի լանջ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76.9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75.7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78.1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77.6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72.89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91.94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76.8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69.9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74.8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35.49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Արծաթաղբյուրի տարածք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85.64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81.8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4/5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48.27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5/4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5/4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57.32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77.71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75.7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5/4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65.2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4/3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lastRenderedPageBreak/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4/3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+</w:t>
            </w:r>
          </w:p>
        </w:tc>
      </w:tr>
      <w:tr w:rsidR="00F05C9B" w:rsidRPr="00653014" w:rsidTr="00F05C9B">
        <w:trPr>
          <w:trHeight w:val="343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87.49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5/4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82.6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4/5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35.76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72.5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5/4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+</w:t>
            </w:r>
          </w:p>
        </w:tc>
      </w:tr>
      <w:tr w:rsidR="00F05C9B" w:rsidRPr="00653014" w:rsidTr="00F05C9B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98.36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73.2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-</w:t>
            </w:r>
          </w:p>
        </w:tc>
      </w:tr>
    </w:tbl>
    <w:p w:rsidR="00F05C9B" w:rsidRPr="00653014" w:rsidRDefault="00F05C9B" w:rsidP="00F05C9B">
      <w:pPr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Ծանոթություն` աղյուսակում լանդշաֆտային գոտիները ներկայացված են համապատասխան թվերով,  </w:t>
      </w:r>
    </w:p>
    <w:p w:rsidR="00F05C9B" w:rsidRPr="00653014" w:rsidRDefault="00F05C9B" w:rsidP="00F05C9B">
      <w:pPr>
        <w:ind w:left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1-չոր տափաստանային, 2- լեռնատափաստանային, 3-լեռնամարգագետնատափաստանային, </w:t>
      </w:r>
    </w:p>
    <w:p w:rsidR="00F05C9B" w:rsidRPr="00653014" w:rsidRDefault="00F05C9B" w:rsidP="00F05C9B">
      <w:pPr>
        <w:ind w:left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4-մերձալպյան, 5-ալպյան</w:t>
      </w:r>
    </w:p>
    <w:p w:rsidR="00F05C9B" w:rsidRPr="00653014" w:rsidRDefault="00F05C9B" w:rsidP="00F05C9B">
      <w:pPr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Ջրելատեղերի և ջրախբյուրների առկայությունը` +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նշանով ,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բացակայությունը` – նշանով: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Նշված գոտիների սահմաններում առանձնացվել են 27 արոտատեղամասեր (տես` աղ. 4): Արոտատեղամասերի առանձնացումը կատարվել է երկու մոտեցմամբ, ըստ լանդշաֆտային գոտիների և ռելիեֆի ձևաբանական միավորների (գետահովիտներ, բլրաշարեր և այլն): Իսկ արոտատեղամասերի էկոլոգիական իրավիճակի գնահատումը կատարվել է ինչպես դաշտային ուսումնասիրությունների` մոնիտորինգի արդյունքում, այնպես էլ կամերալ պայմաններում տիեզերական նկարների վիզուալ վերծանմամբ: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համայնքի արոտները բազմառելեֆային են, առկա են 10-90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 xml:space="preserve">0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թեքության լանջեր: Գերակշռում են միջին և բարձր թեքության լանջերը: Համեմատաբար մեղմ ռելիեֆ ունեն համայնքից՝ չոր տափաստանային գոտու Ղռերի լանջ և այպյան գոտու Սև աղբյուրի տարածք-4, 7, 8 արոտները, որտեղ լանջերի մեծ մսաի թեքությունը չի գերազանցում 25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-ը: Տարբեր գոտիների արոտատեղամասերի լանջերի 8.09 %-ը ունեն փոքր՝ 0-10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թեքություն, 35.84 %-ը ունեն միջին՝ 10-25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թեքություն, 53.8 %-ը ունեն բարձր՝ 25-40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թեքություն, իսկ 2.27 %-ը ունեն գերբարձր՝ 40-90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թեքություն: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Չոր տափաստանային լանդշաֆտային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գտնվում արոտավայրերի՝  10.13 % -ը (170.7 հա), որտեղ  առանձնացվել են Ղռերի լանջ, Սմբարադաբերդի տարածք-1,2 և Սարահարթի լանջ-1,2,3 արոտատեղամասերի ցածրադիր հատվածները: Արոտատեղամասերի մակերևույթը բնութագրվում է մասամբ փոքր թեքությամբ սարահարթերով և մեծամասամբ միջին և մեծ թեքության լանջերով և միջլեռնային գոգովորություններով:  Այս տեղամասերին բնորոշ է քարքարոտության միջին և բարձր աստիճան, մինչև 18-24 %: Էկոլոգիական գնահատման տեսակետից համայնքամերձ արոտատեղերում առկա է բուսածածկի հիմնականում միջին, մասամբ նաև բարձր դեգրադացվածություն, պայմանավորված գերօգտագործվածության և տրորվածության բարձր մակարդակով: Բարձր է դեգրադացվածությունն հատկապես Ղռերի լանջ,  Սմբատաբերդի տարածք-1 և Սարահարթի լանջ-2 արոտատեղամասերում:  Որոշ հատվածներում զգալի տարածում ունեն փշաբարձերի, գազային բուսուտների, մասամբ նաև մասրենու, վայրի բալի, նշենու թփուտների և ռելեկտային գիհու տարածվածությունը ( մինչև 3-5 %), կապված քարքարոտվածության և թփուտվածության հետ արոտատեղամասերում բուսապատվածությունը բավականին ցածր է, միջինը կազմում է 67-76 %: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Բուսակացքը տեսակային կազմերով հարուստ չէ, առավելապես գերակշռում են չափավոր խոնավասեր և չորադիմացկուն լեռնաչորասեր տեսակները: Այս գոտու գերակշիռ արոտավայրերում (համայնքամերձ հատվածներ) առկա է վարընթաց զարգացում, բավականին բարձր են արոտի դեգրադացիայի (ԱԴՑ) և էրոզիայի հակվածության (ԷՀՑ) ցուցանիշները: Միջինից բարձր ռիսկային արոտներ են համաձայն արոտի իրավիճակի ցուցանիշի (ԱԻՑ) ստացված արժեքների: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Լեռնատափաստանային լանդշաֆտային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առանձնացվել են Սարահարթի լանջ-4, Արևայգի լանջ և Ցախաց քարի տարածք-1 արոտատեղամասերը, ինչպես նաև Ղռերի լանջ, Սմբատաբերդի տարածք-1,2 և Սարահարթի լանջ-1,2,3 արոտատեղամասերի բարձրադիր հատվածները: Արոտներում գերակշռում են բարձր թեքությամբ լանջերը: Էկոլոգիական գնահատման տեսակետից այս տեղամասերին բնորոշ է միջին և բարձր քարքարոտվածությունը, կազմելով մինչև 16-25 %: Հարավային կողմնադրմամբ լանջերին առանձին հատվածներով առկա են լերկացած տարածքներ մայրական ապարի ելքերի տեսքով: Արևայգի լանջ, Սմբարադաբերդի տարածք-2 և Սարահարթի լանջ-4  արոտատեղամասերի ստորին հատվածներում առկա է բուսածածկի միջին և բարձր դեգրադացվածություն, պայմանավորված գերօգտագործվածության և տրորվածության բարձր մակարդակով: Զգալիորեն տարածված են վնասակար գազային և փշաբարձային  կիսաթփուտները, ինչպես նաև մասրենու, վայրի բալի, պիստակենու, նշենու թփերը (միջինը՝ 2.0-4.0%),   որոնք զգալիորեն կրճատում են արոտների օգտակար մակերեսները, թփուտվածությունը հատկապես բարձր է  Սմբատաբերդի տարածք-2  արոտատեղամասում (6.0-8.0 %): Թեք լանջերի նոսրացած բուսածածկով հատվածներում զարգացած է մակերևույթային հողատարումը, հատվածներով առկա է մայրական ապարի ելքեր: Բարձր է արոտի դեգրադացիայի ցուցանիշը հատկապես արևհայաց լանջերում, ուր առավելապես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զարգացում են ապրում վաղանցիկ էֆեմերոիդային բուսատեսակները: Էկոլոգիական գնահատման տեսանկյունից արոտատեղամասերի զգալի հատվածներում առկա է վարընթաց զարգացում, որի խորացմանն առավելապես նպաստել է անկանոն արոտօգտագործումը: Արոտատեղամասերում  միջին բուսապատվածությունն կազմում է 66-78 %: Այս գոտու համեմատաբար ցածր բուսապատվածությունն պայմանավորված է նաև գերօգտագործման և ոտնահարվածության (տրորվածության) բարձր մակարդակով: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Լեռնամարգագետնա</w:t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տափաստանային լանդշաֆտային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են  արոտավայրերի ամենափոքր մասնաբաժինը՝ 8.16 % (137.57 հա ), առանձնացվել են Ցախաց քարի տարածք-3, 4 արոտատեղամասերըը, ինչպես նաև Ցախաց քարի տարածք-2 և Սև աղբյուրի տարածք-1, 2  արոտատեղամասերի ցածրադիր հատվածները: Էկոլոգիական գնահատման տեսակետից այս տեղամասերին բնորոշ է քարքարոտության միջին և բարձր աստիճանը, մինչև 18-26 %: Քարքարոտվածությունը համեմատաբար  բարձր է Ցախաց քարի-3 արոտի ցածրադիր հատվածներում, կազմելով 26 %: Որոշ արոտավայրերում քարքարոտվածության  հետ մեկտեղ առկա են գազային և փշաբարձային կիսաթփուտների մեծ տարածվածություն, կազմելով 2.5-3.0 %: Միջին և բարձր թեքությամբ նոսրացած բուսածածկով լանջերին  հատվածներով առկա է մակերևույթային էրոզիայի հստակ նշաններ, պայմանավորված մասնակի և ընդարձակվող բուսազրկվածությամբ: Առանձին հատվածներում ռելիեֆի կտրուկության և հողաշերիտի բարակության պատճառով զարգացել են հողատարման պրոցեսներ, ինչով պայմանավորված թեք լանջերի դեգրադացված հատվածներում լուրջ նախադրյալներ են ձևավորվել մակերևույթային էրոզիաների խորացման համար:  Միջին բուսապատվածության աստիճանը արոտներում կազմում է մինչև 68-74 %: Այս արոտների որոշ հատվածներ մասնակի դեգրադացված և կազմալուծված են: Ցածրադիր հատվածների միջլեռնային հարթություններում բավականին բարձր են արոտի դեգրադացիայի (ԱԴՑ)  և էրոզիայի հակվածության (ԷՀՑ)  ցուցանիշները: Միջին ռիսկային արոտներ են համաձայն արոտի իրավիճակի ցուցանիշի (ԱԻՑ) ստացված արժեքների: Պատկերն առավել ակնառու է Ցախաց քարի տարածք-3, 4 արոտատեղամասերում: Այս արոտների էկոլոգիական վիճակը բավականին վատթար են, որոշ հատվածներում առկա է վարընթաց զարգացում, բուսապատ տարածքներում զգալի տարածում ունեն վատորակ փշաբարձային և աստրագալային քիչ արդյունավետ կիսաթփուտների տարածվածությունն, բավականին բարձր է հողատարված, գերօգտագործվաց և ոտնահարված մակերեսների մասնաբաժինը: Համեմատաբար վիճակը լավ է Ցախաց քարի տարածք-2 արոտում, որտեղ առկա են բավականին լավ բուսածածկ, արոտների դեգրադացիայի (ԱԴՑ-ի) ցուցանիշը գնահատվում է թույլ ռիսկային, իսկ էրոզիայի հակվածության (ԷՀՑ-ի) ցուցանիշները գնահատվում է միջին ռիսկային: Այս արոտները բարձր արդյունավետությամբ և ուտելի կերաբույսերով հարուստ լանդշաֆտային տարածքներ են: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լեռնամարգագետնային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առանձնացվել 40 աչք աղբյուրներ-1, 4 և Սև աղբյուրի տարածք-2 արոտատեղամասերը, Արծաթաղբյուրի տարածք, 40 աչք աղբյուրներ-3, 5, Սև աղբյուրի տարածք-4, 5, 6 արոտատեղամասերի ցածրադիր հատվածները, ինչպես նաև Սև աղբյուրի տարածք-1 արոտատեղամասի բարձրադիր հատվածները: Արոտատեղամասերի մակերևույթը բնութագրվում է միջին և մեծ թեքության լանջերով և միջլեռնային բարձրադիր սարահարթերով : Ի տարբերություն մյուս գոտիներում առանձնացված տեղամասերի, այս գոտու արոտատեղամասերի բնորոշ առանձնահատկություններից մեկը համեմատաբար բարձր բուսապատվածությունն և բարձրացողուն համակեցությունների առկայությունն է: Բարձրադիր հատվածներում զգալի է  քարացրոնների և լերկացած մակերեսների առկայությունը, ինչը զգալի կրճատում է արոտատեղամասերի օգտակար մակերեսները: Քարքարոտվածությունն արոտատեղամասերում տատանվում է մեծ միջակայքում և կազմում է 13-32 %: Քարքարոտվածությունը առավել բարձր է Սև աղբյուրի տարածք-1, 2 արոտներում, որտեղ այն կազմում է 28-32 %: Արոտատեղամասերում միջին  բուսապատվածությունը կազմում է 64-83 %: Արոտատեղամասերում էկոլոգիական վիճակը հիմնականում կայուն է: Առավել ցածրադիր հատվածներում մեծ տարածում են ապրում տարբեր տիպի թփուտային և կիսաթփուտային բուսականության տարածվածությունը, կրճատելով արոտների օգտակար մակերեսները: Այս գոտու արոտների էկոլոգիական իրավիճակի ցուցանիշը ԱԻՑ-ն, միջինից ցածր ռիսկային տիրույթում է, ըստ էրոզիայի հակվածության և բուսածածկի դեգրադացվածության ցուցանիշների գնահատման արդյունքի: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լեռնամարգագետնային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առանձնացվել են   Սև աղբյուրի տարածք-7, 8, և  40 աչք աղբյուրներ-2, 6 արոտատեղամասերը և Արծաթաղբյուրի տարածք, 40 աչք աղբյուրներ-3, 5, Սև աղբյուրի տարածք-4, 5, 6 արոտատեղամասերի բարձրադիր հատվածները: Գոտու արոտները զբաղեցնում են շուրջ 531.35 հա տարածք և կազմում են համայնքի արոտային ֆոնդի 31.53 %-ը: Մակերևույթը բնութագրվում է հիմնականում միջին և բարձր, տեղ-տեղ գերբարձր թեքության լանջերով և զառիթափեր ունեցող լեռնազանգվածներով (որոշ հատվածներում լանջերի թեքությունը կազմում է 40-90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), խորը ընկած ձորերով և միջլեռնային հարթություններով: Գոտու տեղամասերի բնորոշ առանձնահատկություններից մեկը  քարացրոնների և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լեռնային չինգիլների զգալի տարածվածությունն է, ինչով պայմանավորված զգալի կրճատվում է որոշ արոտատեղամասերի օգտակար մակերեսները: Այստեղ նույնպես քարքարոտվածությունը տատանվում է մեծ միջակայքում՝ 14-29 % սահմաններում: Բարձր է քարքարոտվածությունն հատկապես 40 աչք աղբյուրներ-6 և Սև աղբյուրի տարածք-8 արոտատեղամասերում, կազմելով 24-29 %: Այս գոտու հիմնական արոտատեղամասերում (չհաշված 3 քարքարոտ արոտները) համեմատաբար բարձր է բուսապատվածությունը, ինչով պայմանավորված էկոլոգիական վիճակը համեմատաբար կայուն է: Ընդհանուր բուսապատվածությունը կազմում է 65-83 %: Արոտներում առկա է համեմատաբար կայուն վիճակ, էռոզիայի հակվածությոնն (ԷՀՑ)  և արոտի դեգրադացվածությունն (ԱԴՑ) միջին և ցածր ռիսկային տիրույթում է: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համայնքի արոտներից առավել դեգրադացված են չոր տափաստանային գոտու և լեռնատափաստանային գոտու ներքին հատվածի համայնքամերձ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հատվածավոր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bookmarkStart w:id="7" w:name="_Toc402354611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5. Ընթացիկ կառավարում ըստ գոտիների</w:t>
      </w:r>
      <w:bookmarkEnd w:id="7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Արտաբույնք համայնքի վարչական տարածքում առանձնացվել են արոտների տեղաբաշխման 5 հիմնական լանդշաֆտային գոտիներ: Ներկայացնենք տվյալ գոտիների արոտների արածեցման կարգի որոշ առանձնահատկություններ:  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1. Չոր տափաստանային  ցածրալեռնային 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ապրիլի երրորդ տասնօրյակից, իսկ մանր եղջերավորինը մարտի երրորդ տասնօրյակից: Այս գոտում տարածված է համայնքային արոտավայրերի 10.13 %-ը (170.7 հա): Սովորաբար  այս արոտատեղամասերում կազմակերպվում է համայնքի անասունների գարնանային արոտային շրջանը: Այս գոտու արոտատեղամասերում անասնագլխի արածեցման լավագույն ժամանակահատվածը մինչև հուլիս ամսի սկիզբն է, որից հետո ջերմաստիճանի բարձրացման և տեղումների սակավության պատճառով բուսածածկի վերաճը դանդաղում է հանգեցնելով վերաճի հարկադրական դադարի: </w:t>
      </w:r>
      <w:r w:rsidRPr="00653014">
        <w:rPr>
          <w:rFonts w:ascii="Sylfaen" w:hAnsi="Sylfaen"/>
          <w:bCs w:val="0"/>
          <w:spacing w:val="0"/>
          <w:sz w:val="16"/>
          <w:szCs w:val="16"/>
        </w:rPr>
        <w:t xml:space="preserve">Գոտու զգալի տարածքներով արոտատեղամասերը ներկայում հիմնականում գերօգտագործվում են: Խնդիրն հիմնականում պայմանավորված է անկանոն  արոտօգտագործումով: 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Այս գոտու տարբեր արոտատեղամասերում  արածող անասնագլխին խմելաջրով ապահովելու համար առկա են ձորերով հոսող գետակներ և առվակներ, որոնց տեղադիրքն այնպիսին է, որ հիմնականում բավարարում են արոտատեղամասերի մեծ մասում արածող անասնագլխին անհրաժեշտ խմելաջրի պահանջը: Սակայն ներկայում իրականացվող անկանոն արոտօգտագործման արդյունքում, ջրով ապահովված արոտատեղամասերն հիմնականում գերարածեցվում են, իսկ հարակից արոտատեղամասերն թերի են օգտագործվում: Արդյունքում գերօգտագործվող արոտատեղամասերում բավականին բարձր է դեգրադացվածությունը: Դեգրադացվության պատճառ է հանդիսանում նաև այս արոտներում արածեցման թույլատրելի ժամկետներից վաղ (գարնանը) և ուշ (աշուն-ձմռան սկիզբ) ժամկետներում արածեցումներ կազմակերպելը, երբ բույսերը զրկվում են հանգստի շրջանի համար սննդատարեր կուտակելու կամ նորմալ վերաճ կազմակերպելու հնարավորությունից: Այս և հարակից արոտատեղամասերում կայուն և հավասարաչափ արոտօգտագործում իրականացնելու հնարավորությունն առավելապես պայմանավորվելու է արոտաբաժնային եղանակով հերթափոխային արոտօգտագործման կարգեր կիրառելով: Արդյունքում ապահովվելու է անասնագլխի կերապահովման խնդրի լուծումն ու արոտատեղամասերում հնարավոր դեգրադացման կանխումը: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53014">
        <w:rPr>
          <w:rFonts w:ascii="Sylfaen" w:hAnsi="Sylfaen"/>
          <w:b/>
          <w:iCs/>
          <w:sz w:val="16"/>
          <w:szCs w:val="16"/>
        </w:rPr>
        <w:t>2.</w:t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Լեռնատափաստանային </w:t>
      </w:r>
      <w:r w:rsidRPr="00653014">
        <w:rPr>
          <w:rFonts w:ascii="Sylfaen" w:hAnsi="Sylfaen"/>
          <w:b/>
          <w:bCs w:val="0"/>
          <w:spacing w:val="0"/>
          <w:sz w:val="16"/>
          <w:szCs w:val="16"/>
        </w:rPr>
        <w:t xml:space="preserve"> </w:t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համայնքի անասունների արածեցումը սկսվում է հիմնականում մայիսի երկրորդ կամ երրորդ տասնօրյակներից: Այս գոտում տարարածված է համայնքային արոտավայրերի 23.32 </w:t>
      </w:r>
      <w:r w:rsidRPr="00653014">
        <w:rPr>
          <w:rFonts w:ascii="Times Armenian" w:hAnsi="Times Armenian"/>
          <w:bCs w:val="0"/>
          <w:color w:val="auto"/>
          <w:spacing w:val="0"/>
          <w:sz w:val="16"/>
          <w:szCs w:val="16"/>
        </w:rPr>
        <w:t>%-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</w:t>
      </w:r>
      <w:r w:rsidRPr="00653014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391.38 հա): Սովորաբար  այս արոտատեղամասերում կազմակերպվում է վաղ ամառային և աշնանային արոտային շրջանը: Աշնանային ժամանակահատվածում, մինչև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անկանոն, խնդիրը պայմանավորված է որոշ արոտատեղամասերում խմելաջրի բացակայությամբ: Այս գոտում նույնպես տարբեր արոտատեղամասերում  արածող անասնագլխին խմելաջրով ապահովելու համար առկա են ձորերով հոսող գետակներ և առվակներ, որոնց տեղադիրքն այնպիսին է, որ հիմնականում բավարարում են արոտատեղամասերի մեծ մասում արածող անասնագլխին անհրաժեշտ խմելաջրի պահանջը: Սակայն ներկայում իրականացվող անկանոն արոտօգտագործման արդյունքում, ջրով ապահովված արոտատեղամասերն հիմնականում գերարածեցվում են, իսկ հարակից արոտատեղամասերն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թերի են օգտագործվում: Արդյունքում գերօգտագործվող արոտատեղամասերում բավականին բարձր է դեգրադացվածությունը:  Բացի այդ, ինչպես չոր տափաստանային գոտում, այնպես էլ այս գոտու արոտների որոշ մասում նույնպես, /պայմանավորված համայնքին մոտ լինելով/ կազմակերպվում են արածեցումներ թույլատրելի ժամկետներից վաղ (գարնանը) և ուշ (աշուն-ձմռան սկիզբ) ժամկետներում, որի պատճառով այդ տեղամասերը առավել դեգրադացված են: Այս և հարակից արոտատեղամասերում կայուն և հավասարաչափ արոտօգտագործում իրականացնելու հնարավորությունն առավելապես պայմանավորվելու է արոտաբաժնային եղանակով և թույլատրելի ժամկետներում հերթափոխային արոտօգտագործման կարգեր կիրառելով: Արդյունքում ապահովվելու է անասնագլխի կերապահովման խնդրի լուծումն ու արոտատեղամասերում հնարավոր դեգրադացման կանխումը: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3. Լեռնամարգագետնատափաստանային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են համայնքի արոտների սակավ մասը՝ 8.16 % (137.57 հա-ը): Այս լանդշաֆտային գոտու արոտատեղամասերում է հիմնականում կազմակերպվում ամառային և աշնանային ժամանակահատվածների արոտային շրջանը: Պայմանավորված համայնքից  ունեցած հեռավորությամբ, ներկայում այս գոտու  արոտատեղամասերը մերձալպյան գոտու արոտների հետ օգտագործվում են անասունների որոշ մասի հեռագնա արոտային շրջանը կազմակերպելու համար: Գոտու արոտների որոշ մասն օգտագործվում է  թերի: Խնդիրը հիմնականում պայմանավորված է հեռագնա պահվածք կազմակերպելուն անհրաժեշտ գիշերակացի մակատեղերի, ինչպես նաև արոտատեղամասերում խմելաջրի բացակայությամբ:  Արոտատեղամասերում կայուն արոտօգտագործում իրականացնելու համար, անհրաժեշտ է նոր ենթակառուցվածքների ստեղծումը, քանի, որ նախկինում կառուցված ենթակառուցվածքները, չնայած մինչև հիմա դեռևս օգտագործվում են անասնապահների կողմից, սակայն դրանք հիմնականում քայքայվել են և օգտագործման պիտանելիություն գրեթե չունեն: Այս գոտում առանձնացված 3 արոտատեղամասերից 2-ում առկա են բնական ջրաղբյուրներ, սակայն  կառուցված ջրելատեղեր չկան, խմելաջուրն կենդանիները առավելապես ստանում են արոտներով հոսող առվակներից: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Գտնում ենք, որ գոտու առավել հեռու արոտավայրերում կայուն արոտօգտագործում իրականացնելու համար անհրաժեշտ է Ցախաց քարի տարածք-4 արոտատեղամասում նոր ջրելատեղի և անասունների գիշերակացի համար մակատեղի կառուցումը, ինչով ստեղծվելու է հնարավորություններ լանդշաֆտային գոտու բոլոր արոտատեղամասերի հասանելիությունն ապահովվելու և   կայուն արոտօգտագործում իրականացնելու:     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4.  Մերձալպյան բարձրլեռնային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տարածված են արոտավայրերի՝ 26.96 %-ը  (483.19 հա): Այս գոտու բարձրարդյունավետ արոտատեղամասերն  հիմնականում օգտագործվում են ամառային և վաղ աշնանային ժամանակահատվածներում: Բավարար կլիմայական պայմանների դեպքում, այստեղ արոտօգտագործումը թույլատրելի բեռնավորմամբ հնարավոր է կազմակերպել 3-3.5 ամիս ժամկետով, մինչև սեպտեմբերի երրորդ տասնօրյակը: Ներկայում այս գոտու արոտատեղամասերն  առավելապես օգտագործվում են հեռագնա ճամբարային եղանակով,  որոշ գլխաքանակով կթու կովերի, ինչպես նաև բտման և այլ սեռահասակային խմբերի խոշոր եղջերավորի և մանր եղջերավորի ամառային և աշնանային արոտային շրջանը կազմակերպելու համար: Կայուն և տևական արոտօգտագործում իրականացնելու համար, կարևոր պայման է հեռագնա ճամբարային պահվածք կազմակերպելուն անհրաժեշտ ենթակառուցվածքների առկայությունը: Որոշ արոտատեղամասերում (Սև աղբյուրի տարածք-1 և 40 աչք աղբյուրներ-1) նախկինում կառուցված ենթակառուցվածքներն (մակատեղեր, ջրելատեղեր, կացարաններ, ճանապարհներ) հիմնականում քայքայված են և օգտագործման համար քիչ պիտանի: Այս գոտու բարձր արդյունավետությամբ արոտավայրերում հեռագնա պահվածքով կայուն արոտօգտագործում իրականացնելու համար, առաջնահերթ անհրաժեշտություն է որոշ արոտատեղամասերում` մասնավորապես Սև աղբյուրի տարածք-2 արոտատեղամասում, նոր ջրելատեղի կառուցումը,  որտեղ նախկինում կառուցած ջրելատեղը հիմնականում քայքայված է: Գոտու բարձրադիր այս արոտատեղամասերում արոտօգտագործմանն անհրաժեշտ նոր ենթակառուցվածքների ստեղծումով, ստեղծվելու են բավարար հնարավորություններ նաև հարակից ալպյան գոտու արոտներում հեռագնա պահվածքով արոտօգտագործում իրականացնելու համար: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5. Ալպյան բարձր լեռնային գոտում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տարածվում են արոտավայրերի ընդարձակ տարածքներ, որոնք կազմում են համայնքի արոտային ֆոնդի 31.53 %-ը (3353,68 հա): Այս գոտու արոտները օգտագործվում են հեռագնա ճամբարային պահվածքի կազմակերպումով, մասնավորապես բտման կենդանիների և մասամբ նաև կովերի համար: Պայմանավորված որոշ արոտատեղամասերում ջրելատեղերի բացակայությամբ այս գոտու առավել բարձրադիր և հեռավոր հատվածները հիմնականում չեն օգտագործվում, առավելապես օգտագործվում են համեմատաբար ցածրադիր և ջրելատեղերին առավել մոտ արոտավայրերը, որտեղ արոտօգտագործումն իրականացնում են հեռագնա ճամբարային պահվածքով: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Ամառային ժամանակահատվածում այս հատվածում կուտակվում է մինչև 200-300 ՊԳ խոշոր միավոր: Պայմանավորված արոտատեղամասերում առկա ջրելատեղերի քայքայված վիճակով, գտնում ենք, որ Սև աղբյուրի տարածք 4, 8 հեռագնա արոտատեղամասերում անհրաժեշտ է նոր ջրելատեղերի (ջրախմոցների) կառուցումը, ապահովելու լրացուցիչ հնարավորություններ առկա անասնագլուխը խմելաջրով ապահովելու և գոտու առավել հեռավոր արոտատեղամասերը հասանելի դարձնելու համար: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Աշնանային ժամանակահատվածում, մինչև մսուրային շրջանին անցնելը, պայմանավորված բարձրադիր արոտավայրերում կլիմայական հնարավոր անբարենպաստ պայմաններով, արոտակերի ապահովման համար որոշակի ժամանակահատված օգտագործվում են նաև այլընտրանքային կերապահովման տարածքների` բերքահավաք կատարած վարելահողերի, բնական խոտհարքների ինչպես նաև այլ հողատեսքերի մնացորդային խոզանն, վերաճած ահլուկն ու բուսածածկը: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Որպես արոտակերի ապահովման այլընտրանքային միջոց, արոտի նպատակով օգտագործվում են նաև 1219.6 հա այլ հողատեսքերի որոշ հատվածների բուսածածկը: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left="300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bookmarkStart w:id="8" w:name="_Toc402354612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5.1 Համայնքի արոտների և խոտհարքների բուսածածկը, բերքատվության ցուցանիշները</w:t>
      </w:r>
      <w:bookmarkEnd w:id="8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&lt;&lt;Կենսաբազմազանության կայուն կառավարում, Հարավային Կովկաս&gt;&gt; ծրագրի շրջանակներում մշակված “Ամառային արոտների մշտադիտարկման ձեռնարկ Հայաստան”-ի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ազդեցությունը արոտավայրի բուսածածկի վրա գնահատելու նպատակով համեմատվել են 5 լանդշաֆտային գոտիների մաքուր բուսածածկերի միջին տոկոսը (հանվել են քարքարոտ տարածքները, ժայռերը, ձորակները, թփերի զբաղեցրած տարածքը, ճանապարհները, և այլն), տարածքների պոտենցիալ արդյունավետությունը և արածեցման թողած ազդեցության չափը: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Աղյուսակ 5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տարբեր գոտիների պայմաններում</w:t>
      </w:r>
    </w:p>
    <w:tbl>
      <w:tblPr>
        <w:tblW w:w="1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4"/>
        <w:gridCol w:w="1843"/>
        <w:gridCol w:w="1985"/>
        <w:gridCol w:w="1842"/>
        <w:gridCol w:w="2411"/>
      </w:tblGrid>
      <w:tr w:rsidR="00F05C9B" w:rsidRPr="00653014" w:rsidTr="00F05C9B">
        <w:trPr>
          <w:cantSplit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Բարձրություն, 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F05C9B" w:rsidRPr="00653014" w:rsidTr="00F05C9B">
        <w:trPr>
          <w:cantSplit/>
          <w:trHeight w:val="375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Չոր տափաստանային</w:t>
            </w:r>
          </w:p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ցածրալեռնային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չարածեցված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1200-1600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1210</w:t>
            </w:r>
          </w:p>
        </w:tc>
      </w:tr>
      <w:tr w:rsidR="00F05C9B" w:rsidRPr="00653014" w:rsidTr="00F05C9B">
        <w:trPr>
          <w:cantSplit/>
          <w:trHeight w:val="37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380</w:t>
            </w:r>
          </w:p>
        </w:tc>
      </w:tr>
      <w:tr w:rsidR="00F05C9B" w:rsidRPr="00653014" w:rsidTr="00F05C9B">
        <w:trPr>
          <w:cantSplit/>
          <w:trHeight w:val="375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Լեռնատափաստանային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չարածեցված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 1600-2000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1420</w:t>
            </w:r>
          </w:p>
        </w:tc>
      </w:tr>
      <w:tr w:rsidR="00F05C9B" w:rsidRPr="00653014" w:rsidTr="00F05C9B">
        <w:trPr>
          <w:cantSplit/>
          <w:trHeight w:val="34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420</w:t>
            </w:r>
          </w:p>
        </w:tc>
      </w:tr>
      <w:tr w:rsidR="00F05C9B" w:rsidRPr="00653014" w:rsidTr="00F05C9B">
        <w:trPr>
          <w:cantSplit/>
          <w:trHeight w:val="54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Լեռնամարգագետնատա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 xml:space="preserve">փաստանային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2000-2300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1550</w:t>
            </w:r>
          </w:p>
        </w:tc>
      </w:tr>
      <w:tr w:rsidR="00F05C9B" w:rsidRPr="00653014" w:rsidTr="00F05C9B">
        <w:trPr>
          <w:cantSplit/>
          <w:trHeight w:val="54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450</w:t>
            </w:r>
          </w:p>
        </w:tc>
      </w:tr>
      <w:tr w:rsidR="00F05C9B" w:rsidRPr="00653014" w:rsidTr="00F05C9B">
        <w:trPr>
          <w:cantSplit/>
          <w:trHeight w:val="54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 լեռնամարգագետնային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1740</w:t>
            </w:r>
          </w:p>
        </w:tc>
      </w:tr>
      <w:tr w:rsidR="00F05C9B" w:rsidRPr="00653014" w:rsidTr="00F05C9B">
        <w:trPr>
          <w:cantSplit/>
          <w:trHeight w:val="54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F05C9B" w:rsidRPr="00653014" w:rsidTr="00F05C9B">
        <w:trPr>
          <w:cantSplit/>
          <w:trHeight w:val="645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 բարձր լեռնային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2700-3500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        75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1570</w:t>
            </w:r>
          </w:p>
        </w:tc>
      </w:tr>
      <w:tr w:rsidR="00F05C9B" w:rsidRPr="00653014" w:rsidTr="00F05C9B">
        <w:trPr>
          <w:cantSplit/>
          <w:trHeight w:val="66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        52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610</w:t>
            </w:r>
          </w:p>
        </w:tc>
      </w:tr>
    </w:tbl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Արոտների արդյունավետությունը (բերքատվություն և որակական կազմ) որոշելու համար, ըստ միատարության չափանիշների ընտրված արոտային տեղամասերից վերցվել են բուսական նմուշներ, օգտագործելով 10000 քառ.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սմ-ոց “մետրովկաներ”: Լաբորատոր պայմաններում որոշվել է դրանց թաց և չոր կշիռը, տվյալների հիման վրա ստեղծվել է համակարգչային բազա, ըստ նմուշառման կետերի կոորդինատների: Առանձնացվել են հիմնական մարգագետնային բուսախմբերը (հացազգի, բակլազգի, տարախոտ և բոշխեր, կնյուններ), որոշվել հիմնական տեսակները, ինչպես նաև բուսաբանատնտեսական խմբավորումների պարունակության տոկոսը: Ըստ բուսական նմուշի չոր կշռի և առկա բուսախմբակցությունների ու տեսակային կազմերի վերաճի հնարավորու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 հա) հնարավոր բերքատվության ցուցանիշները յուրաքանչյուր բնական գոտու պայմաններում: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spacing w:val="0"/>
          <w:sz w:val="16"/>
          <w:szCs w:val="16"/>
        </w:rPr>
      </w:pPr>
      <w:r w:rsidRPr="00653014">
        <w:rPr>
          <w:rFonts w:ascii="Sylfaen" w:hAnsi="Sylfaen"/>
          <w:bCs w:val="0"/>
          <w:spacing w:val="0"/>
          <w:sz w:val="16"/>
          <w:szCs w:val="16"/>
        </w:rPr>
        <w:t xml:space="preserve">Չոր տափաստանային ցածրալեռնային գոտու արոտավայրերի բուսածածկում, ըստ վերցված նմուշի բուսաբանական անալիզի միջին տվյալների (բուսաբանատնտեսական խմբավորումներ), 42.4 </w:t>
      </w:r>
      <w:r w:rsidRPr="00653014">
        <w:rPr>
          <w:rFonts w:ascii="Times Armenian" w:hAnsi="Times Armenian"/>
          <w:bCs w:val="0"/>
          <w:spacing w:val="0"/>
          <w:sz w:val="16"/>
          <w:szCs w:val="16"/>
        </w:rPr>
        <w:t xml:space="preserve">% </w:t>
      </w:r>
      <w:r w:rsidRPr="00653014">
        <w:rPr>
          <w:rFonts w:ascii="Sylfaen" w:hAnsi="Sylfaen"/>
          <w:bCs w:val="0"/>
          <w:spacing w:val="0"/>
          <w:sz w:val="16"/>
          <w:szCs w:val="16"/>
        </w:rPr>
        <w:t xml:space="preserve">կազմել են դաշտավլուկազգիները, 48.3 </w:t>
      </w:r>
      <w:r w:rsidRPr="00653014">
        <w:rPr>
          <w:rFonts w:ascii="Times Armenian" w:hAnsi="Times Armenian"/>
          <w:bCs w:val="0"/>
          <w:spacing w:val="0"/>
          <w:sz w:val="16"/>
          <w:szCs w:val="16"/>
        </w:rPr>
        <w:t xml:space="preserve">% </w:t>
      </w:r>
      <w:r w:rsidRPr="00653014">
        <w:rPr>
          <w:rFonts w:ascii="Sylfaen" w:hAnsi="Sylfaen"/>
          <w:bCs w:val="0"/>
          <w:spacing w:val="0"/>
          <w:sz w:val="16"/>
          <w:szCs w:val="16"/>
        </w:rPr>
        <w:t>տարախոտեր և 9.3 %</w:t>
      </w:r>
      <w:r w:rsidRPr="00653014">
        <w:rPr>
          <w:rFonts w:ascii="Times Armenian" w:hAnsi="Times Armenian"/>
          <w:bCs w:val="0"/>
          <w:spacing w:val="0"/>
          <w:sz w:val="16"/>
          <w:szCs w:val="16"/>
        </w:rPr>
        <w:t xml:space="preserve"> </w:t>
      </w:r>
      <w:r w:rsidRPr="00653014">
        <w:rPr>
          <w:rFonts w:ascii="Sylfaen" w:hAnsi="Sylfaen"/>
          <w:bCs w:val="0"/>
          <w:spacing w:val="0"/>
          <w:sz w:val="16"/>
          <w:szCs w:val="16"/>
        </w:rPr>
        <w:t xml:space="preserve">բակլազգիներ, ձևավորված է քսերոմեզոֆիտ տարախոտա-դաշտավլուկազգի տափաստանային բուսակացք: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</w:t>
      </w:r>
    </w:p>
    <w:p w:rsidR="00F05C9B" w:rsidRPr="00653014" w:rsidRDefault="00F05C9B" w:rsidP="00F05C9B">
      <w:pPr>
        <w:spacing w:line="360" w:lineRule="auto"/>
        <w:ind w:firstLine="709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spacing w:val="0"/>
          <w:sz w:val="16"/>
          <w:szCs w:val="16"/>
        </w:rPr>
        <w:t>Լեռնատափաստանային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գոտու արոտավայրերի բուսածածկում, ըստ վերցված նմուշի բուսաբանական անալիզի միջին տվյալների (բուսաբանատնտեսական խմբավորումներ), 44.8 % կազմել են դաշտավլուկազգիները, 42.6 % տարախոտեր և 12.6 % բակլազգիներ, ձևավորված է դաշտավլուկազգի- տարախոտային լեռնատափաստանային բուսակացք: </w:t>
      </w:r>
    </w:p>
    <w:p w:rsidR="00F05C9B" w:rsidRPr="00653014" w:rsidRDefault="00F05C9B" w:rsidP="00F05C9B">
      <w:pPr>
        <w:spacing w:line="360" w:lineRule="auto"/>
        <w:ind w:firstLine="709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Լեռնամարգագետնատափաստանային գոտու արոտավայրերի բուսածածկում` 48.7% կազմել են դաշտավլուկազգիները, 37.0 % տարախոտեր, 14.3 % բակլազգիներ,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դաշտավլուկազգի-տարախոտա-բակլազգի մարգագետնատափաստանային բուսակացք: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Մերձալպյան լանդշաֆտային բուսածածկերում` 51.6% կազմել են դաշտավլուկազգիները, 32.6 % տարախոտեր, 15.8 % բակլազգիներ, 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դաշտավլուկազգի-տարախոտա-բակլազգի լեռնամարգագետնային միջինից բարձր արդյունավետության բուսակացք: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Ալպյան գոտու արոտավայրերի բուսածածկում` 56,2 </w:t>
      </w:r>
      <w:r w:rsidRPr="00653014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կազմել են դաշտավլուկազգիները, 32,3  </w:t>
      </w:r>
      <w:r w:rsidRPr="00653014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տարախոտեր 11,2 </w:t>
      </w:r>
      <w:r w:rsidRPr="00653014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բակլազգիներ և 0,3 </w:t>
      </w:r>
      <w:r w:rsidRPr="00653014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բոշխեր-կնյուններ, հիմնականում ձևավորված է դաշտավլուկազգի-տարախոտաբակլազգի ալպյան լեռնամարգագետնային բուսակացք, գորգերի տեսքով: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(աղ. 5), հողի խոտաբույսերով բուսապատվածության աստիճանը չարածեցված տարածքներում տատանվել է 72-76 %-ի սահմաններում, իսկ արածեցված տարածքներում 46-54%, ընդ որում ամենացածր ցուցանիշ գրանցվել է բարձր քարքարոտվածություն ունեցող լեռնամարգագետնատափաստանային գոտու և մասամբ դեգրադացված համայնքամերձ արոտավայրերում: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Հարկ է նշել, որ համայնքամերձ չոր տափաստանային և լեռնատափաստանային գոտու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Առավել բարձրադիր հատվածներում արոտավայրերի արդյունավետ (օգտակար) մակերեսները բավականին փոքր են պայմանավորված կիսաթփուտային գազային և փշաբարձային բուսականության և մասամբ նաև քարացրոնների  զգալի տարածվածությամբ, ինչով պայմանավորված զգալի տարածքներ օգտագործվում են մասնակի: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Համայնքի բնական խոտհարքներում ուսումնասիրվել և գնահատվել է ընդհանուր բուսապատվածությունն ու բուսածածկի բուսաբանական կազմը, հաշվարկվել է ընդհանուր բերքատվությունը: Համայնքի վարչական տարածքում հաշվառված են 196.98 հա բնական խոտհարքներ, որոնցից 86.98 հա-ը անջրտի է, իսկ 110 հա ջրովի: Պայմանավորված անջրտի կամ ջրովի լինելու հանգամանքով, խոտհարքները տարբերվում են բերքատվությամբ և բուսածածկի կազմով: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Աղյուսակ-6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Խոտհարքների բուսածածկի բուսաբանատնտեսական խմբավորումներն ու արտադրողականությունը    </w:t>
      </w:r>
    </w:p>
    <w:tbl>
      <w:tblPr>
        <w:tblW w:w="95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3"/>
        <w:gridCol w:w="991"/>
        <w:gridCol w:w="1275"/>
        <w:gridCol w:w="1417"/>
        <w:gridCol w:w="8"/>
        <w:gridCol w:w="1411"/>
        <w:gridCol w:w="1847"/>
        <w:gridCol w:w="1178"/>
      </w:tblGrid>
      <w:tr w:rsidR="00F05C9B" w:rsidRPr="00653014" w:rsidTr="00F05C9B">
        <w:trPr>
          <w:cantSplit/>
          <w:trHeight w:val="79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Բուսածածկ,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    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Համախառն բերքը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 կգ </w:t>
            </w:r>
          </w:p>
        </w:tc>
      </w:tr>
      <w:tr w:rsidR="00F05C9B" w:rsidRPr="00653014" w:rsidTr="00F05C9B">
        <w:trPr>
          <w:cantSplit/>
          <w:trHeight w:val="454"/>
        </w:trPr>
        <w:tc>
          <w:tcPr>
            <w:tcW w:w="141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F05C9B" w:rsidRPr="00653014" w:rsidTr="00F05C9B">
        <w:trPr>
          <w:cantSplit/>
          <w:trHeight w:val="465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lastRenderedPageBreak/>
              <w:t>Ա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Զ =1քմ ՉԶ x 1հա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Է = Ա x Զ </w:t>
            </w:r>
          </w:p>
        </w:tc>
      </w:tr>
      <w:tr w:rsidR="00F05C9B" w:rsidRPr="00653014" w:rsidTr="00F05C9B">
        <w:trPr>
          <w:cantSplit/>
          <w:trHeight w:val="255"/>
        </w:trPr>
        <w:tc>
          <w:tcPr>
            <w:tcW w:w="14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86.98հա </w:t>
            </w:r>
          </w:p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(անջրտի)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48.4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19.4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32.2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173960</w:t>
            </w:r>
          </w:p>
        </w:tc>
      </w:tr>
      <w:tr w:rsidR="00F05C9B" w:rsidRPr="00653014" w:rsidTr="00F05C9B">
        <w:trPr>
          <w:cantSplit/>
          <w:trHeight w:val="255"/>
        </w:trPr>
        <w:tc>
          <w:tcPr>
            <w:tcW w:w="14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110հա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(ջրովի)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46.1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23.4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30.5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660000</w:t>
            </w:r>
          </w:p>
        </w:tc>
      </w:tr>
      <w:tr w:rsidR="00F05C9B" w:rsidRPr="00653014" w:rsidTr="00F05C9B">
        <w:trPr>
          <w:cantSplit/>
          <w:trHeight w:val="255"/>
        </w:trPr>
        <w:tc>
          <w:tcPr>
            <w:tcW w:w="14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Ընդամենը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196.98հա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833960</w:t>
            </w:r>
          </w:p>
        </w:tc>
      </w:tr>
    </w:tbl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Ծանոթություն – 1հա-ի միջին բերքը հաշվարկվել է հիմնվելով 1քմ հաշվարկային տարածքներից ստացված միջին նմուշի չոր զանգվածի (ՉԶ) կշռին: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6-ում ներկայացված է անջրտի և ջրովի բնական խոտհարքների միջին բուսապատվածությունը, ձևավորվող բուսածածկերի բուսաբանատնտեսական միջին կազմը, ինչպես նաև միջին բերքատվությունն ու համախառն բերքը: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  տարախոտային տեսակների պարունակությունը (32.2 % անջրտիում և 30.5 % ջրովիում), որոնց մեջ զգալի է կոպիտ և վատորակ տեսակների քանակությունը, ինչով պայմանավորված խոտի որակը հատկապես անջրտի հատվածներում բարձր չէ: 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 միջավայրում տարածումը: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Համայնքի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Համայնքի բնական արոտներում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Poa bulbosa, Poa pratense, Hordeum trichophorum, Festuca pratense, Festuca ovina, sulcata, Phleum pratense, Dactylis glomerata, , Stipa capillata, Agropyrum trichophorum, Lotus corniculatus, Lotus pratense, Artemisia alba, Onosoma setosum, Prangos ferulaceae, Senecio caucasicus, Taraxacum officinale, Thimus, Astragalus aureus, Trifolium ambiguum, Tr.repens, Onobrychis atropatana, Vicia angustifolia և այլն: Բարձրարժեք բակլազգի տեսակները անհամեմատ սակավ են, մասնավորապես լեռնատափաստանային գոտու համայնքամերձ դեգրադացված արոտներում: Վերջիններիս առավել տարածվածություն գրանցվել է լեռնամարգագետնատափաստանային  և մերձալպյան գոտիների արոտներում: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bookmarkStart w:id="9" w:name="_Toc402354613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</w:t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5.2 Արոտավայրերի կառավարման և անասնապահության զարգացման նախադրյալները</w:t>
      </w:r>
      <w:bookmarkEnd w:id="9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10" w:name="_Toc275304875"/>
      <w:bookmarkStart w:id="11" w:name="_Toc275297860"/>
      <w:bookmarkStart w:id="12" w:name="_Toc275295647"/>
      <w:bookmarkStart w:id="13" w:name="_Toc275133835"/>
      <w:bookmarkStart w:id="14" w:name="_Toc275133472"/>
      <w:bookmarkStart w:id="15" w:name="_Toc275133426"/>
      <w:bookmarkStart w:id="16" w:name="_Toc275133066"/>
      <w:bookmarkStart w:id="17" w:name="_Toc275132918"/>
      <w:bookmarkStart w:id="18" w:name="_Toc275132640"/>
      <w:bookmarkStart w:id="19" w:name="_Toc275132410"/>
      <w:bookmarkStart w:id="20" w:name="_Toc275132145"/>
      <w:bookmarkStart w:id="21" w:name="_Toc275131586"/>
      <w:bookmarkStart w:id="22" w:name="_Toc76376824"/>
      <w:bookmarkStart w:id="23" w:name="_Toc76375841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Համայնքամերձ արոտավայրերում, որտեղ գրեթե մինչև կայուն ցուրտ եղանակի ձևավորվելը պահվում են արածող կենդանիները, օգտագործվում է հնարավոր ամբողջ կերը, և որպես կանոն ուշադրություն չի դարձվում մնացորդային խոզանի պահպանմանը, այսինքն նման տարածքներն գերարածեցվում և խիստ ոտնահարվում են նպաստելով դեգրադացիայի ձևավորման և հետագա զարգացմանը: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համայնքի ուսումնասիրված տարբեր արոտներում չոր տափաստանային գոտում և լեռնատափաստանային գոտու առավել ցածրադիր և համայնքին մոտ արոտատեղամասերում: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և հետևաբար կարևոր նշանակություն ունեն արոտների ֆունկցիոնալ կայունության պահպանման առումով: </w:t>
      </w:r>
    </w:p>
    <w:p w:rsidR="00F05C9B" w:rsidRPr="00653014" w:rsidRDefault="00F05C9B" w:rsidP="00F05C9B">
      <w:pPr>
        <w:numPr>
          <w:ilvl w:val="0"/>
          <w:numId w:val="4"/>
        </w:num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4" w:name="_Toc76376825"/>
      <w:bookmarkStart w:id="25" w:name="_Toc76375842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Աշուն/ձմեռ: Հանգստի այս փուլում գտնվող միամյա և բազմամյա խոտաբույսերը կարող են բարձր բերք ապահովել, եթե արածեցման ընթացքում բույսերը արմատախիլ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24"/>
      <w:bookmarkEnd w:id="25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  <w:bookmarkStart w:id="26" w:name="_Toc76376826"/>
      <w:bookmarkStart w:id="27" w:name="_Toc76375843"/>
    </w:p>
    <w:p w:rsidR="00F05C9B" w:rsidRPr="00653014" w:rsidRDefault="00F05C9B" w:rsidP="00F05C9B">
      <w:pPr>
        <w:numPr>
          <w:ilvl w:val="0"/>
          <w:numId w:val="4"/>
        </w:num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Վաղ գարուն: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40%-ից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26"/>
      <w:bookmarkEnd w:id="27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F05C9B" w:rsidRPr="00653014" w:rsidRDefault="00F05C9B" w:rsidP="00F05C9B">
      <w:pPr>
        <w:numPr>
          <w:ilvl w:val="0"/>
          <w:numId w:val="4"/>
        </w:num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Ուշ գարուն/ամառ: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անցնել պասիվ փուլի: Արոտների թույլատրելի օգտագործման չափանիշը չպետք է իջնի 60%-ի մակարդակից, որպեսզի ապահովված լինի խոտաբույսերի հետագա ահլուկավորման և վերաճելու հնարավորությունները: Այս ժամանակա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հատվածում ձևավորվում է բերքի հիմնական մասը: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Ամառային արոտների օգտագործման ժամանակահատվածում, բուսածածկի օգտագործման թույլատրելի չափանիշի պահպանումը, արոտօգտագործման հիմնավոր ժամկետների և տևականության սահմանումը, ինչպես նաև արոտաբաժնային եղանակով հերթական արոտօգտագործման կարգի կիրառումը, ապահովելու են արոտային համակեցությունների պահպանումն ու վերարտադրման հնարավորությունները, ստեղծելով պայման կերապահովման խնդրի լուծման և անասնապահության ոլորտի հետագա զարգացման համար: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bookmarkStart w:id="28" w:name="_Toc402354614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6. Չոր   կենսազանգվածի   կուտակման   հնարավորությունն   ըստ       բնակլիմայական   գոտիների</w:t>
      </w:r>
      <w:bookmarkEnd w:id="28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</w:t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Խոզանի բարձրության հաշվարկ: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համայնքի կերահանդակների հնարավո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  առնելով մի շարք գործոններ, այդ թվում նաև խոզանի բարձրությունը (աղ.7):                                     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       Աղյուսակ 7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Արտաբույնք  համայնքի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արոտավայրերի խոզանի բարձրությունն ըստ գոտիների</w:t>
      </w:r>
    </w:p>
    <w:tbl>
      <w:tblPr>
        <w:tblW w:w="0" w:type="auto"/>
        <w:jc w:val="center"/>
        <w:tblInd w:w="-3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2"/>
        <w:gridCol w:w="5103"/>
      </w:tblGrid>
      <w:tr w:rsidR="00F05C9B" w:rsidRPr="00653014" w:rsidTr="00F05C9B">
        <w:trPr>
          <w:cantSplit/>
          <w:trHeight w:val="526"/>
          <w:jc w:val="center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                   Խոզանի        բարձրություն, սմ</w:t>
            </w:r>
          </w:p>
        </w:tc>
      </w:tr>
      <w:tr w:rsidR="00F05C9B" w:rsidRPr="00653014" w:rsidTr="00F05C9B">
        <w:trPr>
          <w:cantSplit/>
          <w:trHeight w:val="380"/>
          <w:jc w:val="center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Չոր տափաստանային ցածրալեռնային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6-8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Լ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եռնատափաստանային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both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Լեռնամարգագետնատափաստանային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12-15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both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12-15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both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6-8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Բոլոր գոտիների համար, խոնավ կլիմայի դեպքում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 սմ-ով ավելի</w:t>
            </w:r>
          </w:p>
        </w:tc>
      </w:tr>
    </w:tbl>
    <w:p w:rsidR="00F05C9B" w:rsidRPr="00653014" w:rsidRDefault="00F05C9B" w:rsidP="00F05C9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“Արոտների և խոտհարքների օգտագործման կարգի” վերաբերյալ ՀՀ Կառավարության 2011թ.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№ 389-ն որոշման համաձայն, կենդանիների արածեցումը պետք է սկսել գարնանը, բույսերի վերաճը սկսելուց 15-18 օր հետո, երբ բույսերի բարձրությունը հողի մակերեսից կազմում է` </w:t>
      </w:r>
    </w:p>
    <w:p w:rsidR="00F05C9B" w:rsidRPr="00653014" w:rsidRDefault="00F05C9B" w:rsidP="00F05C9B">
      <w:pPr>
        <w:numPr>
          <w:ilvl w:val="0"/>
          <w:numId w:val="7"/>
        </w:numPr>
        <w:spacing w:line="360" w:lineRule="auto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Չոր տափաստանային ցածրալեռնային գոտում    6-8սմ,</w:t>
      </w:r>
    </w:p>
    <w:p w:rsidR="00F05C9B" w:rsidRPr="00653014" w:rsidRDefault="00F05C9B" w:rsidP="00F05C9B">
      <w:pPr>
        <w:numPr>
          <w:ilvl w:val="0"/>
          <w:numId w:val="7"/>
        </w:num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Լեռնատափաստանային գոտում                          10-12 սմ, </w:t>
      </w:r>
    </w:p>
    <w:p w:rsidR="00F05C9B" w:rsidRPr="00653014" w:rsidRDefault="00F05C9B" w:rsidP="00F05C9B">
      <w:pPr>
        <w:numPr>
          <w:ilvl w:val="0"/>
          <w:numId w:val="7"/>
        </w:num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Լեռնամարգագետնատափաստանային գոտում 12-15 սմ,  </w:t>
      </w:r>
    </w:p>
    <w:p w:rsidR="00F05C9B" w:rsidRPr="00653014" w:rsidRDefault="00F05C9B" w:rsidP="00F05C9B">
      <w:pPr>
        <w:numPr>
          <w:ilvl w:val="0"/>
          <w:numId w:val="7"/>
        </w:num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գոտում 12-15 սմ,</w:t>
      </w:r>
    </w:p>
    <w:p w:rsidR="00F05C9B" w:rsidRPr="00653014" w:rsidRDefault="00F05C9B" w:rsidP="00F05C9B">
      <w:pPr>
        <w:numPr>
          <w:ilvl w:val="0"/>
          <w:numId w:val="7"/>
        </w:numPr>
        <w:spacing w:line="408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Ալպյան 6-8 սմ:</w:t>
      </w:r>
    </w:p>
    <w:p w:rsidR="00F05C9B" w:rsidRPr="00653014" w:rsidRDefault="00F05C9B" w:rsidP="00F05C9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Ելնելով այս հանգամանքից, ինչպես նաև Արտաբույնք համայնքի լանդշաֆտային գոտիականության առանձնահատկություններից, առաջարկում ենք գարնանային արածեցումը սկսել չոր տափաս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տանային ցածրալեռնային գոտում` 8սմ, լեռնատափաստանային գոտում 10 սմ, լեռնամարգագետնատափաստանային և մերձալպյան գոտիներում` 12 սմ, իսկ ալպյան գոտում 8 սմ խոտածածկի բարձրության առկայության պայմաններում: Հաշվի առնելով հողակլիմայական և լանդշաֆտային առանձնահատկությունները, առաջարկում ենք օգտագործել աղյուսակ 7-ում բերված տվյալները: </w:t>
      </w:r>
    </w:p>
    <w:p w:rsidR="00F05C9B" w:rsidRPr="00653014" w:rsidRDefault="00F05C9B" w:rsidP="00F05C9B">
      <w:pPr>
        <w:spacing w:line="360" w:lineRule="auto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 w:cs="Sylfaen"/>
          <w:b/>
          <w:sz w:val="16"/>
          <w:szCs w:val="16"/>
        </w:rPr>
        <w:t xml:space="preserve">6.1 Համայնքի կերահանդակներից և այլընտրանքային կերապահովման տարածքներից ստացվող չոր զանգվածի </w:t>
      </w:r>
      <w:bookmarkStart w:id="29" w:name="_Toc402354616"/>
      <w:r w:rsidRPr="00653014">
        <w:rPr>
          <w:rFonts w:ascii="Sylfaen" w:hAnsi="Sylfaen" w:cs="Sylfaen"/>
          <w:b/>
          <w:sz w:val="16"/>
          <w:szCs w:val="16"/>
        </w:rPr>
        <w:t>և արածեցման օրերի քանակը</w:t>
      </w:r>
      <w:bookmarkEnd w:id="29"/>
    </w:p>
    <w:p w:rsidR="00F05C9B" w:rsidRPr="00653014" w:rsidRDefault="00F05C9B" w:rsidP="00F05C9B">
      <w:pPr>
        <w:spacing w:line="408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                Աղյուսակ 8</w:t>
      </w:r>
    </w:p>
    <w:p w:rsidR="00F05C9B" w:rsidRPr="00653014" w:rsidRDefault="00F05C9B" w:rsidP="00F05C9B">
      <w:pPr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արտադրողականությունը և առավելագույն արածեցման օրերն ըստ գոտիների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6"/>
        <w:gridCol w:w="851"/>
        <w:gridCol w:w="1418"/>
        <w:gridCol w:w="1844"/>
        <w:gridCol w:w="2127"/>
      </w:tblGrid>
      <w:tr w:rsidR="00F05C9B" w:rsidRPr="00653014" w:rsidTr="00F05C9B">
        <w:trPr>
          <w:trHeight w:val="76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ind w:left="-38" w:right="-5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ind w:left="-38" w:right="-5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ind w:left="-38" w:right="-5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60% օգտագործում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F05C9B" w:rsidRPr="00653014" w:rsidRDefault="00F05C9B">
            <w:pPr>
              <w:spacing w:line="408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</w:t>
            </w: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**</w:t>
            </w:r>
          </w:p>
        </w:tc>
      </w:tr>
      <w:tr w:rsidR="00F05C9B" w:rsidRPr="00653014" w:rsidTr="00F05C9B">
        <w:trPr>
          <w:trHeight w:val="76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ind w:left="-38" w:right="-56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ind w:left="-38" w:right="-56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ind w:left="-38" w:right="-56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Ե=Դx60%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408" w:lineRule="auto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Զ=Ե/4851.9կգ/օր</w:t>
            </w:r>
          </w:p>
        </w:tc>
      </w:tr>
      <w:tr w:rsidR="00F05C9B" w:rsidRPr="00653014" w:rsidTr="00F05C9B">
        <w:trPr>
          <w:trHeight w:val="83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Չոր տափաստանային</w:t>
            </w:r>
          </w:p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ցածրալեռնային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170.69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206534.9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123920.9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26</w:t>
            </w:r>
          </w:p>
        </w:tc>
      </w:tr>
      <w:tr w:rsidR="00F05C9B" w:rsidRPr="00653014" w:rsidTr="00F05C9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408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նա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 xml:space="preserve">փաստանային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391.38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555759.6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333455.8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69</w:t>
            </w:r>
          </w:p>
        </w:tc>
      </w:tr>
      <w:tr w:rsidR="00F05C9B" w:rsidRPr="00653014" w:rsidTr="00F05C9B">
        <w:trPr>
          <w:trHeight w:val="75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</w:t>
            </w: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 xml:space="preserve">մարգատափաստ-անային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137.57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213233.5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127940.1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26</w:t>
            </w:r>
          </w:p>
        </w:tc>
      </w:tr>
      <w:tr w:rsidR="00F05C9B" w:rsidRPr="00653014" w:rsidTr="00F05C9B">
        <w:trPr>
          <w:trHeight w:val="75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408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454.46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790760.4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474456.2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98</w:t>
            </w:r>
          </w:p>
        </w:tc>
      </w:tr>
      <w:tr w:rsidR="00F05C9B" w:rsidRPr="00653014" w:rsidTr="00F05C9B">
        <w:trPr>
          <w:trHeight w:val="75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408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531.35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834219.5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500531.7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103</w:t>
            </w:r>
          </w:p>
        </w:tc>
      </w:tr>
      <w:tr w:rsidR="00F05C9B" w:rsidRPr="00653014" w:rsidTr="00F05C9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408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1685.45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2600508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1560305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322</w:t>
            </w:r>
          </w:p>
        </w:tc>
      </w:tr>
    </w:tbl>
    <w:p w:rsidR="00F05C9B" w:rsidRPr="00653014" w:rsidRDefault="00F05C9B" w:rsidP="00F05C9B">
      <w:pPr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30" w:name="RANGE!A29"/>
      <w:bookmarkEnd w:id="30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`լանդշաֆտային գոտիներում արոտների բերքատվությունն ու արոտօգտագործման օրերի քանակը հաշվարկվում է հետևյալ բանաձևով`  </w:t>
      </w:r>
    </w:p>
    <w:p w:rsidR="00F05C9B" w:rsidRPr="00653014" w:rsidRDefault="00F05C9B" w:rsidP="00F05C9B">
      <w:pPr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60% /անասնագլխի օրեկան կերի պահանջ (4851.9կգ):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8-ում ամփոփված են արոտավայրերի բերքատվությունն ու կենդանիների համար խոտի ներկայիս հասանելիությունն` ըստ հաստատագրված 60% օգտագործման ցուցանիշի: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Ինչպես երևում է ամենաբարձր արտադրողականություն 1հա-ի հաշվով ձևավորվել է մերձալպյան գոտու արոտատեղամասերում: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(60%) չոր զանգվածի ամենաբարձր քանակություն կարելի է ակնկալել ալպյան գոտու արոտներից, որտեղ ձևավորվող արոտականաչի քանակությունը կարող է բավարարել համայնքի ամբողջ անասնագլխի արոտակերի պահանջը շուրջ 103 օրերի համար, իսկ չոր տափաստանային, լեռնատափաստանային, լեռնամարգագետնատափաստանային և մերձալպյան գոտիների արոտներում առկա անասնագլխաքանակը կարող է արածել (արոտակերով ապահովված լինել) համապատասխանաբար 26, 69, 26 և 98 օրեր: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Լրացուցիչ կերային զգալի պաշարներ պարունակում են նաև վարելահողերի և խոտհարքների ազատված տարածքները (բերքահավաքից հետո) մնացորդային խոզանի և վերաճած ահլուկի տեսքով, ինչպես նաև այլ հողատեսքերի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բուսածածկը (աղ.9), որոնց հիման վրա որպես այլ ընտրանք, ուշ ամառային շրջանում և աշնանը մսուրային շրջանից առաջ, հնարավոր է մինչև 171 օր կերակրել համայնքի ողջ անասնագլխին:                                       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    Աղյուսակ 9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31" w:name="RANGE!A36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քանակըև առավելագույն արածեցման օրեր</w:t>
      </w:r>
      <w:bookmarkEnd w:id="31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106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10"/>
        <w:gridCol w:w="1275"/>
        <w:gridCol w:w="1276"/>
        <w:gridCol w:w="2127"/>
        <w:gridCol w:w="3262"/>
      </w:tblGrid>
      <w:tr w:rsidR="00F05C9B" w:rsidRPr="00653014" w:rsidTr="00F05C9B">
        <w:trPr>
          <w:cantSplit/>
          <w:trHeight w:val="561"/>
        </w:trPr>
        <w:tc>
          <w:tcPr>
            <w:tcW w:w="2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Տարածք,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Ընդամենը ՉԶ,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կգ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F05C9B" w:rsidRPr="00653014" w:rsidTr="00F05C9B">
        <w:trPr>
          <w:cantSplit/>
          <w:trHeight w:val="448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                  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Դ </w:t>
            </w: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= Բ x Գ</w:t>
            </w:r>
            <w:r w:rsidRPr="00653014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Ե = Դ / 4851.9 կգ/օր</w:t>
            </w:r>
          </w:p>
        </w:tc>
      </w:tr>
      <w:tr w:rsidR="00F05C9B" w:rsidRPr="00653014" w:rsidTr="00F05C9B">
        <w:trPr>
          <w:cantSplit/>
          <w:trHeight w:val="1019"/>
        </w:trPr>
        <w:tc>
          <w:tcPr>
            <w:tcW w:w="2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Վարելահողերի + խոտհարքների</w:t>
            </w:r>
          </w:p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 xml:space="preserve">խոզան    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203.85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87655.5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</w:tr>
      <w:tr w:rsidR="00F05C9B" w:rsidRPr="00653014" w:rsidTr="00F05C9B">
        <w:trPr>
          <w:cantSplit/>
          <w:trHeight w:val="945"/>
        </w:trPr>
        <w:tc>
          <w:tcPr>
            <w:tcW w:w="2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Այլ հողատեսքերի       բուսածածկ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1219.66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743992.6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153</w:t>
            </w:r>
          </w:p>
        </w:tc>
      </w:tr>
      <w:tr w:rsidR="00F05C9B" w:rsidRPr="00653014" w:rsidTr="00F05C9B">
        <w:trPr>
          <w:cantSplit/>
          <w:trHeight w:val="299"/>
        </w:trPr>
        <w:tc>
          <w:tcPr>
            <w:tcW w:w="2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</w:pPr>
            <w:r w:rsidRPr="00653014">
              <w:rPr>
                <w:rFonts w:ascii="Sylfaen" w:eastAsia="Times New Roman" w:hAnsi="Sylfaen" w:cs="Arial"/>
                <w:bCs w:val="0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1423.51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831648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171</w:t>
            </w:r>
          </w:p>
        </w:tc>
      </w:tr>
    </w:tbl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Համայնքի վարչական տարածքում առկա արոտավայրերից և այլընտրանքային արոտատեղերից (աղյուսակներ- 8; 9) ձևավորվող ընդհանուր արոտակերը (1560.3+831.6 = 2391.9 տ) կարող է բավարարել առկա անասնագլխի արոտակերի պահանջը 493 օրերի համար, այսինքն համայնքի պայմաններում առկա է արոտակերի ներկա պահանջից մոտ երկու անգամ ավել քանակ: Արոտավայրերից ձևավորվող (60% թույլատրելի օգտագործումով) ընդհանուր չոր զանգվածի  (1560.3 տ) և առկա անասնագլխին  արոտային ժամանակահատվածում անհրաժեշտ  (974.3տ) արոտակերի պահանջի համադրումից պարզ է դառնում, որ միայն համայնքային արոտավայրերից ձևավորվող արոտակերը    կարող է բավարարել առկա անասնագլխի արոտակերի պահանջը 160.1%-ով</w:t>
      </w:r>
      <w:bookmarkStart w:id="32" w:name="_Toc402354617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Հիմնվելով արոտավայրերի, ինչպես նաև այլընտրանքային կերապահովման  տարածքներում ձևավորվող լրացուցիչ կերային պաշարների ցուցանիշներին, պարզ է դառնում, որ առկա են հիմնավոր նախադրյալներ համայնքում անասնագլխաքանակի հետագա ավելացման և մթերատու ցուցանիշների բարձրացման համար, կամ հեռագնա արոտների մի նասը այլ համայնքների ֆերմերներին վարձակալության հիմունքներով տրամադրելու համար: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6.2 Կենդանիների կերակրման և կերերի հաշվեկշիռ</w:t>
      </w:r>
      <w:bookmarkEnd w:id="32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Արտաբույնք համայնքի 1 տարվա կերային ռեսուրսները, արոտային և մսուրային շրջաններում առկա անասնագլխի արոտակերի և խոտի պահանջի ապահովածությունը: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Աղյուսակ 10   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Արոտային և մսուրային շրջանների կերերով (ՉԶ) ապահովածությունը                                      </w:t>
      </w:r>
    </w:p>
    <w:tbl>
      <w:tblPr>
        <w:tblW w:w="103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845"/>
        <w:gridCol w:w="1276"/>
        <w:gridCol w:w="1985"/>
        <w:gridCol w:w="2126"/>
        <w:gridCol w:w="1418"/>
        <w:gridCol w:w="949"/>
        <w:gridCol w:w="766"/>
      </w:tblGrid>
      <w:tr w:rsidR="00F05C9B" w:rsidRPr="00653014" w:rsidTr="00F05C9B">
        <w:trPr>
          <w:trHeight w:val="122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            Արոտային շրջան,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ԽԵԱ-200օր, ՄԵԱ-220-250օր</w:t>
            </w:r>
          </w:p>
        </w:tc>
        <w:tc>
          <w:tcPr>
            <w:tcW w:w="5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     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Մսուրային շրջան,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ԽԵԱ-165օր, ՄԵԱ-115-145օր</w:t>
            </w:r>
          </w:p>
        </w:tc>
      </w:tr>
      <w:tr w:rsidR="00F05C9B" w:rsidRPr="00653014" w:rsidTr="00F05C9B">
        <w:trPr>
          <w:trHeight w:val="80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Պահանջվող կերեր, 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Առկա կերեր, 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Ապահովածություն 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z w:val="16"/>
                <w:szCs w:val="16"/>
              </w:rPr>
              <w:t>%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Պահանջվող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կերեր,</w:t>
            </w:r>
            <w:r w:rsidRPr="00653014">
              <w:rPr>
                <w:rFonts w:ascii="Sylfaen" w:hAnsi="Sylfaen"/>
                <w:bCs w:val="0"/>
                <w:sz w:val="16"/>
                <w:szCs w:val="16"/>
              </w:rPr>
              <w:t xml:space="preserve"> (</w:t>
            </w:r>
            <w:r w:rsidRPr="00653014">
              <w:rPr>
                <w:rFonts w:ascii="Sylfaen" w:hAnsi="Sylfaen"/>
                <w:sz w:val="16"/>
                <w:szCs w:val="16"/>
              </w:rPr>
              <w:t>խոտ</w:t>
            </w:r>
            <w:r w:rsidRPr="00653014">
              <w:rPr>
                <w:rFonts w:ascii="Sylfaen" w:hAnsi="Sylfaen"/>
                <w:bCs w:val="0"/>
                <w:sz w:val="16"/>
                <w:szCs w:val="16"/>
              </w:rPr>
              <w:t>)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Առկա կերեր, </w:t>
            </w:r>
            <w:r w:rsidRPr="00653014">
              <w:rPr>
                <w:rFonts w:ascii="Sylfaen" w:hAnsi="Sylfaen"/>
                <w:bCs w:val="0"/>
                <w:sz w:val="16"/>
                <w:szCs w:val="16"/>
              </w:rPr>
              <w:t>(</w:t>
            </w:r>
            <w:r w:rsidRPr="00653014">
              <w:rPr>
                <w:rFonts w:ascii="Sylfaen" w:hAnsi="Sylfaen"/>
                <w:sz w:val="16"/>
                <w:szCs w:val="16"/>
              </w:rPr>
              <w:t>խոտ</w:t>
            </w:r>
            <w:r w:rsidRPr="00653014">
              <w:rPr>
                <w:rFonts w:ascii="Sylfaen" w:hAnsi="Sylfaen"/>
                <w:bCs w:val="0"/>
                <w:sz w:val="16"/>
                <w:szCs w:val="16"/>
              </w:rPr>
              <w:t>)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տ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Ապահովածություն         </w:t>
            </w:r>
          </w:p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      </w:t>
            </w:r>
            <w:r w:rsidRPr="00653014">
              <w:rPr>
                <w:rFonts w:ascii="Sylfaen" w:eastAsia="Times New Roman" w:hAnsi="Sylfaen"/>
                <w:bCs w:val="0"/>
                <w:sz w:val="16"/>
                <w:szCs w:val="16"/>
              </w:rPr>
              <w:t>%</w:t>
            </w:r>
          </w:p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460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lastRenderedPageBreak/>
              <w:t>Տես գլուխ 3.1, 6.1</w:t>
            </w:r>
          </w:p>
        </w:tc>
        <w:tc>
          <w:tcPr>
            <w:tcW w:w="5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Տես աղ.13</w:t>
            </w:r>
          </w:p>
        </w:tc>
      </w:tr>
      <w:tr w:rsidR="00F05C9B" w:rsidRPr="00653014" w:rsidTr="00F05C9B">
        <w:trPr>
          <w:trHeight w:val="67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 xml:space="preserve">    974.3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2391.9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245.4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796.7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946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118.7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</w:tbl>
    <w:p w:rsidR="00F05C9B" w:rsidRPr="00653014" w:rsidRDefault="00F05C9B" w:rsidP="00F05C9B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Ծանոթություն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ԽԵԱ- խոշոր եղջերավոր անասուն, ՄԵԱ- մանր եղջերավոր անասուն: </w:t>
      </w:r>
    </w:p>
    <w:p w:rsidR="00F05C9B" w:rsidRPr="00653014" w:rsidRDefault="00F05C9B" w:rsidP="00F05C9B">
      <w:pPr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ՄԵԱ-ոչխարի արոտայն շրջանը 250օր, մսուրային շրջանը-115օր, գառների և ուլերի արոտային շրջանը 220օր, մսուրային շրջանը -145օր: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Տվյալները ցույց են տալիս, որ լանդշաֆտային հինգ գոտիների արոտներում ձևավորվող արոտակերը (60% թույլատրելի օգտագործմամբ), ինչպես նաև այլընտրանքային կերապահովման տարածքներում ձևավորվող արոտակերը միասին հաշվառված (1560.3+831.6 = 2391.9 տ), շուրջ կրկնակի և ավել անգամ գերազանցում է (245.4 %) առկա անասնագլխաքանակին անհրաժեշտ արոտակերի պահանջը: Մսուրային շրջանի համար համայնքում արտադրվող խոտը բավարարում է ընդհանուր պահանջարկը 118.7 %-ով: Այսինքն առկա է կուտակվող խոտի մոտ 18.7 % ավելցուկ, որը հիմնականում  համայնքի բնակիչների կողմից վաճառվում է հարևան համայնքների անասնատերերին: Ընդհանուր առմամբ սեփական արտադրությամբ  մսուրային շրջանին անհրաժեշտ խոտով համայնքը  ապահոված է լիարժեք:</w:t>
      </w:r>
      <w:bookmarkStart w:id="33" w:name="_Toc402354618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7. Խոշոր և մանր եղջերավոր կենդանիների արածեցման համակարգ</w:t>
      </w:r>
      <w:bookmarkEnd w:id="33"/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Արտաբույնք համայնքի արոտների օգտագործման (արածեցման) համակարգը ներկայացված է աղյուսակ 14-ում (ա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,բ,գ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): Համայնքի արոտների ընդհանուր տարածքը կազմում է 1685.45 հա, որը տարածված է 5 տարբեր լանդշաֆտային գոտիներում: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Համայնքում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(համայնքամերձ հատվածներում) գտնվում են վատթար վիճակում, հիմնականում գերօգտագործված և մասամբ դեգրադացված են, բուսածածկում գերակշռում են ցածրարժեք և վատորակ տարախոտային բուսատեսակներ: Խնդրի խորացմանը նպաստել է նաև զգալի տարածքներով արոտավայրերում գյուղատնտեսական կենդանիներին անհրաժեշտ խմելաջրի պակասը կամ բացակայությունը, ինչով և պայմանավորված արոտավայրերը օգտագործվել են անհավասարաչափ, հաշվի չի առնվել նաև անասնագլխով թույլատրելի բեռնավորման նորմը (ԱԹԲ):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Համայնքում արոտավայրերի տեղաբաշխվածությունը և կենսակլիմայական պայմանները ապահովում են արոտային շրջանը գարնանը սկսել համեմատաբար վաղ  ժամկետներում ապրիլի երրորդ տասնօրյակից (ԽԵԱ-ի համար), և մարտի երրորդ տասնօրյակից (ՄԵԱ-ի համար) ցածրադիր արոտատեղամասերից, ամռան սկզբից բարձրանալ առավել բարձրադիր գոտիների արոտատեղամասեր մինչև սեպտեմբերի երկրորդ տասնօրյակ, որից հետո մինչև մսուրային շրջանի անցնելը իջնել առավել ցածրադիր արոտատեղամասեր, օգտագործելով արոտավայրերի մնացորդային բուսածածկն ու վերաճած ահլուկը: Որպես այլ ընտրանքային կերապահովման միջոց, մինչև մսուրային շրջանին անցնելը, ուշ ամռան և աշնանը հնարավոր է արոտակերը ապահովել  նաև բերքահավաք կատարած վարելահողերի և խոտհարքների մնացորդային խոզանն ու վերաճած ահլուկը, ինչպես նաև այլ հողատեսքերի բուսածածկը օգտագործելով:  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Համայնքում     արոտների  կայուն    կառավարումը պայմանավորվում է նաև արոտավայրերում անհրաժեշտ ենթակառուցվածքների ձևավորումով, մասնավորապես ջրախմոցների կառուցմամբ խմելաջրի ապահովումը որոշ  ջրազուրկ արոտատեղամասերում  ձևավորելու է հնարավորություններ կայուն կառավարման (արոտօգտագործման) կարգեր կիրառելու և արոտավայրերը հավասարաչափ օգտագործելու համար: Իսկ հեռագնա արոտներում, որտեղ նախկինում հեռագնա սեզոնային արոտօգտագործման համար կառուցված ճամբարային ենթակառուցվածքները, որ հիմնականում քայքայվել են, անհրաժեշտություն կա ժամանակավոր կացարանների և ծածկով մակատեղերի կառուցման, ապահովելու լրացուցիչ հնարավորություններ հեռագնա արոտներում ճամբարային պահվածքով ԽԵԱ-ի համար կայուն արոտօգտագործում կազմակերպելու, միաժամանակ նպաստելով մոտակա` գյուղամերձ արոտավայրերում անասնագլխով գերբեռնվածությունն մեղմելու համար: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դեգրադացված արոտների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արդյունավետությունն ու բուսածածկի կերային արժեքը,  աստիճանաբար նպաստելով գերօգտագործված և կազմալուծված արոտների վերականգնմանը, կանխելով հողերի էրոզացման հնարավոր զարգացումը և արոտների հետագա դեգրադացումը, ինչը ակնհայտ է 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14-ում (ա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,բ,գ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) ներկայացված համակարգը ներառում է ԽԵԱ նախիրների և ՄԵԱ հոտերի արոտօգտագործման սխեմաները: Արածեցումը սկսվում է գարնանը առավել ցածրադիր համայնքամերձ արոտատեղա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մասերից, այնուհետև, ամռան սկզբից կենդանիները պետք է տեղափոխվեն առավել բարձրադիր գոտիների արոտատեղամասեր: Աշնանը նախիրները և հոտերը նորից տեղափոխվում են ցածրադիր և գյուղամերձ արոտներ, ինչպես նաև կերապահովման այլընտրանքային տարածքներ, մինչև մսուրային շրջանին աննցնելը: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համակարգի մշակման համար հիմք է ընդունվել Արտաբույնք համայնքում խոշոր և մանր եղջերավոր անասունների պայմանական գլխաքանակը (ՊԳ,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 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(ՊԳ) օրվա արածեցման հաշվարկը որոշվում է մեկ օրվա համար 400 կգ քաշ ունեցող կովին անհրաժեշտ խոտի քանակով (10 կգ):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Արոտատեղամասերում    արոտօգտագործման օրերի քանակը հաշվարկվում է հետևյալ բանաձևով`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Արոտային տարածք x միջին բերքատվություն x 60% /1- ՊԳ-ի օրեկան կերի </w:t>
      </w:r>
      <w:proofErr w:type="gramStart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պահանջ(</w:t>
      </w:r>
      <w:proofErr w:type="gramEnd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կգ) / նախիրի գլխաքանակ (ՊԳ):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     Աղյուսակ 11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Համայնքի ԽԵԱ և ՄԵԱ պայմանական գլխաքանակի (ՊԳ) հաշվարկ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0"/>
        <w:gridCol w:w="2247"/>
        <w:gridCol w:w="2363"/>
        <w:gridCol w:w="2134"/>
      </w:tblGrid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Հասուն ԽԵԱ (կովեր)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233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233.0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&lt; 1 տարեկան հորթեր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58.8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12-24 ամսական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52.2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Չբուծվող ԽԵԱ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12.8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Ցուլեր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10.0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Բուծվող ԽԵԱ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111.0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Մաքիներ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2.8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Գառներ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1.3</w:t>
            </w:r>
          </w:p>
        </w:tc>
      </w:tr>
      <w:tr w:rsidR="00F05C9B" w:rsidRPr="00653014" w:rsidTr="00F05C9B">
        <w:trPr>
          <w:cantSplit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Ձիեր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4.5</w:t>
            </w:r>
          </w:p>
        </w:tc>
      </w:tr>
      <w:tr w:rsidR="00F05C9B" w:rsidRPr="00653014" w:rsidTr="00F05C9B">
        <w:trPr>
          <w:cantSplit/>
          <w:trHeight w:val="153"/>
          <w:jc w:val="center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Ընդամենը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781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486</w:t>
            </w:r>
          </w:p>
        </w:tc>
      </w:tr>
    </w:tbl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Ըստ գյուղապետարանի տրամադրած տեղեկատվության, Արտաբույնք համայնքում գործում են ՄԵԱ-ի (ոչխարի) 2 հոտեր և ԽԵԱ-ի 7 նախիրներ, որից 4-ը կովերի, 3-ը տարբեր սեռահասակային խմբերի ԽԵԱ-ի (1-ը արուների, 2-ը էգերի): Նախիրներում և հոտերում հաշվվում է շուրջ 486 ՊԳ խոշոր միավոր (աղ. 12):                                                                                        </w:t>
      </w:r>
    </w:p>
    <w:p w:rsidR="00F05C9B" w:rsidRPr="00653014" w:rsidRDefault="00F05C9B" w:rsidP="00F05C9B">
      <w:pPr>
        <w:spacing w:line="360" w:lineRule="auto"/>
        <w:ind w:firstLine="709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12</w:t>
      </w: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4"/>
        <w:gridCol w:w="3099"/>
        <w:gridCol w:w="2068"/>
      </w:tblGrid>
      <w:tr w:rsidR="00F05C9B" w:rsidRPr="00653014" w:rsidTr="00F05C9B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Նախիրների և հոտերի թիվը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Մեկ նախիրում և հոտում ՊԳ քանակը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Ընդամենը ՊԳ</w:t>
            </w:r>
          </w:p>
        </w:tc>
      </w:tr>
      <w:tr w:rsidR="00F05C9B" w:rsidRPr="00653014" w:rsidTr="00F05C9B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12" w:lineRule="auto"/>
              <w:ind w:left="91"/>
              <w:jc w:val="both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Նախիր (կովի) 1;2;3;4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3x58+59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233</w:t>
            </w:r>
          </w:p>
        </w:tc>
      </w:tr>
      <w:tr w:rsidR="00F05C9B" w:rsidRPr="00653014" w:rsidTr="00F05C9B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12" w:lineRule="auto"/>
              <w:ind w:left="91"/>
              <w:jc w:val="both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Նախիր տարբեր սեռահասակային 5;6;7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2x81+83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245</w:t>
            </w:r>
          </w:p>
        </w:tc>
      </w:tr>
      <w:tr w:rsidR="00F05C9B" w:rsidRPr="00653014" w:rsidTr="00F05C9B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12" w:lineRule="auto"/>
              <w:ind w:left="91"/>
              <w:jc w:val="both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Հոտ 1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1x8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8</w:t>
            </w:r>
          </w:p>
        </w:tc>
      </w:tr>
      <w:tr w:rsidR="00F05C9B" w:rsidRPr="00653014" w:rsidTr="00F05C9B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spacing w:line="312" w:lineRule="auto"/>
              <w:ind w:left="91"/>
              <w:jc w:val="both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ind w:left="91"/>
              <w:jc w:val="center"/>
              <w:rPr>
                <w:rFonts w:ascii="Sylfae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bCs w:val="0"/>
                <w:spacing w:val="0"/>
                <w:sz w:val="16"/>
                <w:szCs w:val="16"/>
              </w:rPr>
              <w:t>486</w:t>
            </w:r>
          </w:p>
        </w:tc>
      </w:tr>
    </w:tbl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Համայնքում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 և ամռան սկզբին օգտագործվում է չոր տափաստանային և լեռնատափաստանային գոտու արոտները, ամռանը նախիրները և հոտերը տեղափոխվում են լեռնամարգագետնատափաստանային գոտու արոտատեղամասեր,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այնուհետև մերձալպյան և ալպյան գոտու բարձրադիր արոտավայրեր մինչև սեպտեմբերի երրորդ տասնօրյակը, որից հետո հակառակ ընթացքով աշնանը շարժվում են դեպի ցածրադիր համայնքամերձ արոտատեղամասեր և այլընտրանքային կերապահովման տարածքները մինչև մսուրային շրջանին անցնելը: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Համայնքում առկա անասնագլխին արոտակերով ապահովման համար ողջ արոտային շրջանում օգտագործվում են հիմնականում արոտների, մասամբ  նաև այլընտրանքային կերապահովման տարածքների բուսածածկերը: Ներկայում այլ սեռահասակային խմբերի խոշոր եղջերավորի, ինչպես նաև որոշ գլխաքանակով կթու կովերի արոտային շրջանը հիմնականում կազմակերպվում է Սև աղբյուրի տարծք, Արծաթաղբյուրի տարածք և 40 աչք աղբյուրներ  հեռագնա արոտավայրերում, որտեղ անհրաժեշտություն կա հեռագնա պահվածք կազմակերպելուն անհրաժեշտ ճամբարային որոշ ենթակառուցվածքների` ծածկով մակատեղերի և ջրելատեղերի վերանորոգման կամ կառուցման համար: Ուշ աշնանային ժամանակահատվածում, մինչև մսուրային շրջանին անցնելը, հեռագնա արոտներից վերադարձող անասնագլխի արոտակերի ապահովումն կազմակերպվում է ցածրադիր գոտու արոտներում և այլընտրանքային կերապահովման տարածքներում: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 արժեքից, ձևավորվող արոտակերի ընդհանուր քանակի և արոտավայրերի թույլատրելի բեռնավորման (ԱԹԲ) նորմի  հաշվարկից, պարզվում է, որ համայնքի արոտավայրերում ձևավորվող արոտակերը արոտային ժամանակահատվածում կարող է ապահովել  շուրջ 778 ՊԳ խոշոր միավորի կերի պահանջ, ինչով պայմանավորված առկա են բավարար հնարավորություններ ապահովելու անասնագլխի արոտակերով ապահովումն ու  մթերատվության բարձրացումը: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Այսպիսով, առաջարկում ենք Արտաբույնք համայնքի արոտների օգտագործումը (արածեցումը) կազմակերպել կովերի 4 նախիրներով (233 ՊԳ), տարբեր սեռահասակային խմբերի ԽԵԱ-ի 3 նախիրներով (245 ՊԳ), և մանր եղջերավորի 1 հոտով (8 ՊԳ), ընդհանուր հաշվարկով` (486 ՊԳ): Արոտատեղամասերում արածեցումը  իրականացնել ըստ առանձին նախիրների և հոտերի` մեկ ՊԳ/հատված հիմունքով: Անհրաժեշտ է նաև, որ նախիրների արածեցման համակարգը հետևի համապատասխան արածեցման ժամկետներին, որոնք նշված են Աղյուսակ 14 ա,բ,գ-ի հերթափոխային արածեցման գրաֆիկում: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դաշտում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14ա-ում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3 տարիների ընթացքում արոտավայրերի վիճակը կայուն կառավարումով (արոտաշրջանառության իրականացմամբ) հնարավոր է բարելավել, հետագա դեգրադացումը մեղմելով,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 պետք է գիտակցի, որ այս ձեռնարկը համայնքի բոլոր բնակիչների օգտին է և տնտեսական, և բնապահպանական առումներով: Արոտաօգտագործողների Միավորումը (ԱՄ) պետք է պահանջի նախրապահներից արածեցման հաշվետվություն, որպեսզի վերահսկի անասունների արածման օրերը և խոզանի պահպանվող բարձրությունը: Նախընտրելի է, որ յուրաքանչյուր նախրապահ տեղեկացնի ԱՄ նշանակված անդամին շաբաթական մոտավոր տվյալները, որպեսզի ապահովվի կենդանիների քանակի, արածեցման օրերի, և խոզանի բարձրության մասին տեղեկատվությունը: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խոզանի բարձրության շեմը: Այս հանգամանքը ԱՄ-ին հնարավորություն է տալիս մշակել նոր, փոփոխված արածեցման սխեմաներ, դրանով իսկ ապահովել արոտամասերի արդյունավետ օգտագործումը անասնագլխաքանակի ավելացման, կլիմայական պայմանների և այլ գործոնների փոփոխման պայմաններում: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8.Մսուրային շրջանում կուտակվող կերեր (խոտի ապահովածությունը)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Աղյուսակ 13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Անասնագլխի մսուրային շրջանի խոտի պահանջն ու ապահովածությունը                                                                                                                                   </w:t>
      </w:r>
    </w:p>
    <w:tbl>
      <w:tblPr>
        <w:tblW w:w="1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993"/>
        <w:gridCol w:w="1276"/>
        <w:gridCol w:w="992"/>
        <w:gridCol w:w="1418"/>
        <w:gridCol w:w="1134"/>
        <w:gridCol w:w="1559"/>
        <w:gridCol w:w="1701"/>
      </w:tblGrid>
      <w:tr w:rsidR="00F05C9B" w:rsidRPr="00653014" w:rsidTr="00F05C9B">
        <w:trPr>
          <w:trHeight w:val="168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Կենդա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նիներ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ՉԶ օրական պահանջ, կգ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ջարկ,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 xml:space="preserve"> 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 xml:space="preserve">Կուտակվող խոտի քանակը,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Անհրաժեշտ խոտի ավելցուկը,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 xml:space="preserve"> 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 xml:space="preserve">թյուն, </w:t>
            </w:r>
          </w:p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</w:tr>
      <w:tr w:rsidR="00F05C9B" w:rsidRPr="00653014" w:rsidTr="00F05C9B">
        <w:trPr>
          <w:trHeight w:val="54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>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>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>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>Դ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>Ե = Բx Գx xԴ /1000կգ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 xml:space="preserve">Զ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spacing w:line="312" w:lineRule="auto"/>
              <w:jc w:val="center"/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bCs w:val="0"/>
                <w:spacing w:val="0"/>
                <w:sz w:val="16"/>
                <w:szCs w:val="16"/>
              </w:rPr>
              <w:t>Ը=Զ/Եx100%</w:t>
            </w:r>
          </w:p>
        </w:tc>
      </w:tr>
      <w:tr w:rsidR="00F05C9B" w:rsidRPr="00653014" w:rsidTr="00F05C9B">
        <w:trPr>
          <w:trHeight w:val="50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Կաթնատու ԽԵԱ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384.4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eastAsia="Times New Roman" w:hAnsi="Sylfaen"/>
                <w:color w:val="auto"/>
                <w:sz w:val="16"/>
                <w:szCs w:val="16"/>
              </w:rPr>
              <w:t>946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bookmarkStart w:id="34" w:name="_GoBack"/>
            <w:bookmarkEnd w:id="34"/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149.4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118.7</w:t>
            </w:r>
          </w:p>
        </w:tc>
      </w:tr>
      <w:tr w:rsidR="00F05C9B" w:rsidRPr="00653014" w:rsidTr="00F05C9B">
        <w:trPr>
          <w:trHeight w:val="5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Բուծվող ԽԵԱ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183.1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5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Չբուծվող ԽԵԱ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21.0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5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Հորթեր (3-12 ամսական)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95.3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5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Հորթեր (12-24 ամսական)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86.1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5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Ցուլեր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16.5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2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Մաքիներ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3.2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30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Գառներ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1.8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3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C9B" w:rsidRPr="00653014" w:rsidRDefault="00F05C9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Ձիեր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5.2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  <w:tr w:rsidR="00F05C9B" w:rsidRPr="00653014" w:rsidTr="00F05C9B">
        <w:trPr>
          <w:trHeight w:val="26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Ընդամենը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796.6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eastAsia="Times New Roman" w:hAnsi="Sylfaen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</w:tr>
    </w:tbl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Արտաբույնք համայնքում մսուրային շրջանի համար կուտակվող կերերի ձեռքբերման աղբյուրները և քանակությունը 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Անմշակ վարելահողերից- խոտ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                                          6 հա x 2.0տ = 12 տ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Տնամերձերից և բազմամյա տնկարքներից – խոտ               25 հա x 4.0 = 100տ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խոտհարքի (ջրովի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)-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խոտ                                                110 x 6 = 660 տ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խոտհարքի (անջրտի</w:t>
      </w:r>
      <w:proofErr w:type="gramStart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)-</w:t>
      </w:r>
      <w:proofErr w:type="gramEnd"/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խոտ                                      86.98 x 2.0 = 174տ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Գնովի ցորենի թեփ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ab/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                                                                            100տ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Գնովի գարու հատիկ                                                                                         125տ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Ընդամենը</w:t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  <w:t xml:space="preserve">                                                    1171 տ</w:t>
      </w:r>
      <w:bookmarkStart w:id="35" w:name="_Toc402354620"/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Գնովի խտացված կերերը (ցորենի թեփ, գարու հատիկ) հիմնականում օգտագործվում է խոզերի և ընտանի թռչունների կերակրման համար, մասամբ նաև բտվող կենդանիների քաշաճի ավելացման նպատակով լրացուցիչ կերակրում կազմակերպելու համար: Համայնքում մսուրային շրջանում անհրաժեշտ խոտի պահանջը սեփական արտադրությամբ բավարարվում է 118.7-ով, հիմնականում ջրովի և անջրտի բնական խոտհարքներից, անմշակ վարելահողերից, տնամերձ հողերից ու բազմամյա տնկարքների տարածքներից: 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   Պետք է փաստել, որ անմշակ վարելահողերից (hամայնքում հաշվառված է 6.78 հա վարելահողեր, որոնք հիմնականում չեն մշակվում) ձևավորվող բուսազանգվածի որակական ցուցանիշները անհամեմատ ցածր են, պայմանավորված ցածր որակի մոլախոտային և տարախոտային բուսատեսակների գերակշռությամբ: Վերջինովս պայմանավորված որոճող կենդանիները նման կերի պարագայում չեն ստանում պահանջվող կերամիավորի քանակությունն, ինչն էլ ազդում է մթերատվության վրա: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Համայնքը ներկայում մսուրային շրջանի հիմնական կերապահովումը կազմակերպում է բնական խոտհարքներից, որոնցից կուտակած կերերը առանձնակի աչքի չեն ընկնում իրենց որակով, ինչը հիմնականում պայմանավորված է խոտի կուտակաման աշխատանքների ձգձգումով, որն էլ իր հերթին պայմանավորված է գյուղատնտեսական տեխնիկայի անբավարար լինելով: Բանն այն է, որ համայնքում կերերի կուտակման կազմակերպման համար նախատեսված գյուղտեխնիկայի պակասի կամ բացակայության պատճառով շատ դեպքերում ձգձգվում են խոտհունձի, փոցխման և խոտի հակավորման աշխատանքների ժամկետները, որի պատճառով ընկնում է կուտակվող կերի որակը, որն էլ հանդիսանում է մսուրային շրջանում անասունների ցածր մթերատվության հիմնական պատճառը: Բացը լրացնելու համար ֆերմերները անհրաժեշտ գյուղտեխնիկան ներգրավում են հարևան համայնքներից, ինչով պայմանավորված ավելանում է կերի կուտակմանն ուղղված ծախսերը: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Մսուրային շրջանի համար տեղական որակյալ կերերի արտադրություն ապահովելու, ինչպես նաև անմշակ վարելահողերի հնարավոր հետագա դեգրադացումը կանխելու համար, առաջնահերթ անհրաժեշտություն է գյուղատնտեսական տեխնիկայի ձեռքբերումն ու դաշտավարության ոլորտի առավել զարգացումը:</w:t>
      </w: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F05C9B" w:rsidRPr="00653014" w:rsidRDefault="00F05C9B" w:rsidP="00F05C9B">
      <w:pPr>
        <w:spacing w:line="360" w:lineRule="auto"/>
        <w:ind w:firstLine="709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9.Արտաբույնք համայնքում արոտատեղամասերի բաշխվածության   քարտեզ</w:t>
      </w:r>
      <w:bookmarkStart w:id="36" w:name="_Toc402354621"/>
      <w:bookmarkEnd w:id="35"/>
    </w:p>
    <w:p w:rsidR="00F05C9B" w:rsidRPr="00653014" w:rsidRDefault="00F05C9B" w:rsidP="00F05C9B">
      <w:pPr>
        <w:rPr>
          <w:rFonts w:ascii="Sylfaen" w:hAnsi="Sylfaen" w:cs="Sylfaen"/>
          <w:sz w:val="16"/>
          <w:szCs w:val="16"/>
        </w:rPr>
      </w:pPr>
      <w:r w:rsidRPr="00653014">
        <w:rPr>
          <w:rFonts w:ascii="Sylfaen" w:hAnsi="Sylfaen" w:cs="Sylfae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F5273AB" wp14:editId="392C2623">
            <wp:extent cx="5905500" cy="8353425"/>
            <wp:effectExtent l="0" t="0" r="0" b="9525"/>
            <wp:docPr id="4" name="Рисунок 4" descr="Artabuynq  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abuynq  Aro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6"/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  <w:r w:rsidRPr="00653014">
        <w:rPr>
          <w:rFonts w:ascii="Sylfaen" w:hAnsi="Sylfaen" w:cs="Sylfae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DBFDD56" wp14:editId="749B1729">
            <wp:extent cx="6143625" cy="8677275"/>
            <wp:effectExtent l="0" t="0" r="9525" b="9525"/>
            <wp:docPr id="3" name="Рисунок 3" descr="Artabuynq  Bardzrutyu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abuynq  Bardzrutyun 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  <w:r w:rsidRPr="00653014">
        <w:rPr>
          <w:rFonts w:ascii="Sylfaen" w:hAnsi="Sylfaen" w:cs="Sylfae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CD487E3" wp14:editId="006E0362">
            <wp:extent cx="6010275" cy="8496300"/>
            <wp:effectExtent l="0" t="0" r="9525" b="0"/>
            <wp:docPr id="2" name="Рисунок 2" descr="Artabuynq  Koghmnadruty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abuynq  Koghmnadrutyu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  <w:r w:rsidRPr="00653014">
        <w:rPr>
          <w:rFonts w:ascii="Sylfaen" w:hAnsi="Sylfaen" w:cs="Sylfae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7847A15" wp14:editId="504C22F0">
            <wp:extent cx="6019800" cy="8515350"/>
            <wp:effectExtent l="0" t="0" r="0" b="0"/>
            <wp:docPr id="1" name="Рисунок 1" descr="Artabuynq  Tequty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tabuynq  Tequtyu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</w:p>
    <w:p w:rsidR="00F05C9B" w:rsidRPr="00653014" w:rsidRDefault="00F05C9B" w:rsidP="00F05C9B">
      <w:pPr>
        <w:tabs>
          <w:tab w:val="left" w:pos="360"/>
        </w:tabs>
        <w:rPr>
          <w:rFonts w:ascii="Sylfaen" w:hAnsi="Sylfaen" w:cs="Sylfaen"/>
          <w:sz w:val="16"/>
          <w:szCs w:val="16"/>
        </w:rPr>
      </w:pPr>
      <w:r w:rsidRPr="00653014">
        <w:rPr>
          <w:rFonts w:ascii="Sylfaen" w:hAnsi="Sylfaen"/>
          <w:b/>
          <w:sz w:val="16"/>
          <w:szCs w:val="16"/>
          <w:lang w:val="fr-FR"/>
        </w:rPr>
        <w:t>10. Արտաբույնք համայնքում   արոտատեղամասերի   արածեցման գրաֆիկ</w:t>
      </w:r>
      <w:r w:rsidRPr="00653014">
        <w:rPr>
          <w:rFonts w:ascii="Sylfaen" w:hAnsi="Sylfaen" w:cs="Sylfaen"/>
          <w:sz w:val="16"/>
          <w:szCs w:val="16"/>
        </w:rPr>
        <w:t xml:space="preserve">                                                                                               </w:t>
      </w:r>
    </w:p>
    <w:p w:rsidR="00F05C9B" w:rsidRPr="00653014" w:rsidRDefault="00F05C9B" w:rsidP="00F05C9B">
      <w:pPr>
        <w:tabs>
          <w:tab w:val="left" w:pos="360"/>
        </w:tabs>
        <w:ind w:left="-426" w:firstLine="426"/>
        <w:rPr>
          <w:rFonts w:ascii="Sylfaen" w:hAnsi="Sylfaen" w:cs="Sylfaen"/>
          <w:sz w:val="16"/>
          <w:szCs w:val="16"/>
        </w:rPr>
      </w:pPr>
      <w:r w:rsidRPr="00653014">
        <w:rPr>
          <w:rFonts w:ascii="Sylfaen" w:hAnsi="Sylfaen" w:cs="Sylfaen"/>
          <w:sz w:val="16"/>
          <w:szCs w:val="16"/>
        </w:rPr>
        <w:t xml:space="preserve">                                                                                                            Աղյուսակ 14ա</w:t>
      </w:r>
    </w:p>
    <w:p w:rsidR="00F05C9B" w:rsidRPr="00653014" w:rsidRDefault="00F05C9B" w:rsidP="00F05C9B">
      <w:pPr>
        <w:tabs>
          <w:tab w:val="left" w:pos="360"/>
        </w:tabs>
        <w:ind w:left="-426" w:firstLine="426"/>
        <w:rPr>
          <w:rFonts w:ascii="Sylfaen" w:hAnsi="Sylfaen" w:cs="Sylfaen"/>
          <w:sz w:val="16"/>
          <w:szCs w:val="16"/>
          <w:lang w:val="fr-FR"/>
        </w:rPr>
      </w:pPr>
      <w:r w:rsidRPr="00653014">
        <w:rPr>
          <w:rFonts w:ascii="Sylfaen" w:hAnsi="Sylfaen" w:cs="Sylfaen"/>
          <w:sz w:val="16"/>
          <w:szCs w:val="16"/>
        </w:rPr>
        <w:lastRenderedPageBreak/>
        <w:t>Արտաբույնք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համայնքի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ԽԵԱ</w:t>
      </w:r>
      <w:r w:rsidRPr="00653014">
        <w:rPr>
          <w:rFonts w:ascii="Sylfaen" w:hAnsi="Sylfaen" w:cs="Sylfaen"/>
          <w:sz w:val="16"/>
          <w:szCs w:val="16"/>
          <w:lang w:val="fr-FR"/>
        </w:rPr>
        <w:t>-</w:t>
      </w:r>
      <w:r w:rsidRPr="00653014">
        <w:rPr>
          <w:rFonts w:ascii="Sylfaen" w:hAnsi="Sylfaen" w:cs="Sylfaen"/>
          <w:sz w:val="16"/>
          <w:szCs w:val="16"/>
        </w:rPr>
        <w:t>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և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ՄԵԱ</w:t>
      </w:r>
      <w:r w:rsidRPr="00653014">
        <w:rPr>
          <w:rFonts w:ascii="Sylfaen" w:hAnsi="Sylfaen" w:cs="Sylfaen"/>
          <w:sz w:val="16"/>
          <w:szCs w:val="16"/>
          <w:lang w:val="fr-FR"/>
        </w:rPr>
        <w:t>-</w:t>
      </w:r>
      <w:r w:rsidRPr="00653014">
        <w:rPr>
          <w:rFonts w:ascii="Sylfaen" w:hAnsi="Sylfaen" w:cs="Sylfaen"/>
          <w:sz w:val="16"/>
          <w:szCs w:val="16"/>
        </w:rPr>
        <w:t>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արածեցման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գրաֆիկ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/>
          <w:sz w:val="16"/>
          <w:szCs w:val="16"/>
          <w:lang w:val="fr-FR"/>
        </w:rPr>
        <w:t xml:space="preserve">(1-ին </w:t>
      </w:r>
      <w:r w:rsidRPr="00653014">
        <w:rPr>
          <w:rFonts w:ascii="Sylfaen" w:hAnsi="Sylfaen"/>
          <w:sz w:val="16"/>
          <w:szCs w:val="16"/>
        </w:rPr>
        <w:t>տարի</w:t>
      </w:r>
      <w:r w:rsidRPr="00653014">
        <w:rPr>
          <w:rFonts w:ascii="Sylfaen" w:hAnsi="Sylfaen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975"/>
        <w:gridCol w:w="998"/>
        <w:gridCol w:w="1131"/>
        <w:gridCol w:w="1554"/>
        <w:gridCol w:w="1423"/>
        <w:gridCol w:w="851"/>
        <w:gridCol w:w="709"/>
        <w:gridCol w:w="603"/>
      </w:tblGrid>
      <w:tr w:rsidR="00F05C9B" w:rsidRPr="00653014" w:rsidTr="00F05C9B">
        <w:trPr>
          <w:trHeight w:val="1173"/>
        </w:trPr>
        <w:tc>
          <w:tcPr>
            <w:tcW w:w="4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ռո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653014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653014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F05C9B" w:rsidRPr="00653014" w:rsidTr="00F05C9B">
        <w:trPr>
          <w:trHeight w:val="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51.63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21/04-20/05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91.94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21/05-20/08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37.89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21/08-30/09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rPr>
          <w:trHeight w:val="2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Խոտհարքների խոզան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</w:t>
            </w:r>
          </w:p>
        </w:tc>
        <w:tc>
          <w:tcPr>
            <w:tcW w:w="297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լանջ-3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76.72</w:t>
            </w:r>
          </w:p>
        </w:tc>
        <w:tc>
          <w:tcPr>
            <w:tcW w:w="11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21/04-10/05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rPr>
          <w:trHeight w:val="3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Ղռերի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79.37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68.49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  <w:lang w:val="hy-AM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01/06-10/07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67.59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11/07-20/08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87.49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21/08-30/09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 xml:space="preserve">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297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Ղռերի լանջ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79.37</w:t>
            </w:r>
          </w:p>
        </w:tc>
        <w:tc>
          <w:tcPr>
            <w:tcW w:w="11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  <w:highlight w:val="lightGray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21/04-10/05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50.05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  <w:highlight w:val="yellow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67.88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01/06-30/07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57.32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01/08-30/09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297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լանջ-2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62.11</w:t>
            </w:r>
          </w:p>
        </w:tc>
        <w:tc>
          <w:tcPr>
            <w:tcW w:w="11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21/04-10/05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71.94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37.33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52.84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35.49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71.56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297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լանջ-2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62.11</w:t>
            </w:r>
          </w:p>
        </w:tc>
        <w:tc>
          <w:tcPr>
            <w:tcW w:w="11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01/04-05/05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72.89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06-15/05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36.05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Արծաթաղբյուրի տարածք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85.64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01/06-10/07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48.27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11-30/07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52.38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01-30/08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77.71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01/09-10/10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21/03-30/04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01-30/11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51.63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01/05-30/05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11-30/10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91.94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01/06-30/08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37.89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01/09-10/10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F05C9B" w:rsidRPr="00653014" w:rsidRDefault="00F05C9B" w:rsidP="00F05C9B">
      <w:pPr>
        <w:rPr>
          <w:rFonts w:ascii="Sylfaen" w:hAnsi="Sylfaen"/>
          <w:sz w:val="16"/>
          <w:szCs w:val="16"/>
        </w:rPr>
      </w:pPr>
      <w:r w:rsidRPr="00653014">
        <w:rPr>
          <w:rFonts w:ascii="Sylfaen" w:hAnsi="Sylfaen"/>
          <w:b/>
          <w:sz w:val="16"/>
          <w:szCs w:val="16"/>
        </w:rPr>
        <w:t>Ծանոթություն</w:t>
      </w:r>
      <w:r w:rsidRPr="00653014">
        <w:rPr>
          <w:rFonts w:ascii="Sylfaen" w:hAnsi="Sylfaen"/>
          <w:sz w:val="16"/>
          <w:szCs w:val="16"/>
        </w:rPr>
        <w:t>, ՈՒ- ուշ ժամկետում արածեցում:</w:t>
      </w:r>
    </w:p>
    <w:p w:rsidR="00F05C9B" w:rsidRPr="00653014" w:rsidRDefault="00F05C9B" w:rsidP="00F05C9B">
      <w:pPr>
        <w:tabs>
          <w:tab w:val="left" w:pos="360"/>
        </w:tabs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   </w:t>
      </w:r>
    </w:p>
    <w:p w:rsidR="00F05C9B" w:rsidRPr="00653014" w:rsidRDefault="00F05C9B" w:rsidP="00F05C9B">
      <w:pPr>
        <w:tabs>
          <w:tab w:val="left" w:pos="360"/>
        </w:tabs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</w:t>
      </w:r>
      <w:r w:rsidRPr="00653014">
        <w:rPr>
          <w:rFonts w:ascii="Sylfaen" w:hAnsi="Sylfaen" w:cs="Sylfaen"/>
          <w:sz w:val="16"/>
          <w:szCs w:val="16"/>
        </w:rPr>
        <w:t xml:space="preserve">Աղյուսակ 14բ                                                                                              </w:t>
      </w:r>
    </w:p>
    <w:p w:rsidR="00F05C9B" w:rsidRPr="00653014" w:rsidRDefault="00F05C9B" w:rsidP="00F05C9B">
      <w:pPr>
        <w:tabs>
          <w:tab w:val="left" w:pos="360"/>
        </w:tabs>
        <w:ind w:left="-426" w:firstLine="426"/>
        <w:rPr>
          <w:rFonts w:ascii="Sylfaen" w:hAnsi="Sylfaen"/>
          <w:sz w:val="16"/>
          <w:szCs w:val="16"/>
          <w:lang w:val="fr-FR"/>
        </w:rPr>
      </w:pPr>
      <w:r w:rsidRPr="00653014">
        <w:rPr>
          <w:rFonts w:ascii="Sylfaen" w:hAnsi="Sylfaen" w:cs="Sylfaen"/>
          <w:sz w:val="16"/>
          <w:szCs w:val="16"/>
        </w:rPr>
        <w:t>Արտաբույնք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համայնքի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ԽԵԱ</w:t>
      </w:r>
      <w:r w:rsidRPr="00653014">
        <w:rPr>
          <w:rFonts w:ascii="Sylfaen" w:hAnsi="Sylfaen" w:cs="Sylfaen"/>
          <w:sz w:val="16"/>
          <w:szCs w:val="16"/>
          <w:lang w:val="fr-FR"/>
        </w:rPr>
        <w:t>-</w:t>
      </w:r>
      <w:r w:rsidRPr="00653014">
        <w:rPr>
          <w:rFonts w:ascii="Sylfaen" w:hAnsi="Sylfaen" w:cs="Sylfaen"/>
          <w:sz w:val="16"/>
          <w:szCs w:val="16"/>
        </w:rPr>
        <w:t>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և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ՄԵԱ</w:t>
      </w:r>
      <w:r w:rsidRPr="00653014">
        <w:rPr>
          <w:rFonts w:ascii="Sylfaen" w:hAnsi="Sylfaen" w:cs="Sylfaen"/>
          <w:sz w:val="16"/>
          <w:szCs w:val="16"/>
          <w:lang w:val="fr-FR"/>
        </w:rPr>
        <w:t>-</w:t>
      </w:r>
      <w:r w:rsidRPr="00653014">
        <w:rPr>
          <w:rFonts w:ascii="Sylfaen" w:hAnsi="Sylfaen" w:cs="Sylfaen"/>
          <w:sz w:val="16"/>
          <w:szCs w:val="16"/>
        </w:rPr>
        <w:t>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արածեցման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գրաֆիկ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/>
          <w:sz w:val="16"/>
          <w:szCs w:val="16"/>
          <w:lang w:val="fr-FR"/>
        </w:rPr>
        <w:t xml:space="preserve">(2-րդ </w:t>
      </w:r>
      <w:r w:rsidRPr="00653014">
        <w:rPr>
          <w:rFonts w:ascii="Sylfaen" w:hAnsi="Sylfaen"/>
          <w:sz w:val="16"/>
          <w:szCs w:val="16"/>
        </w:rPr>
        <w:t>տարի</w:t>
      </w:r>
      <w:r w:rsidRPr="00653014">
        <w:rPr>
          <w:rFonts w:ascii="Sylfaen" w:hAnsi="Sylfaen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975"/>
        <w:gridCol w:w="998"/>
        <w:gridCol w:w="1131"/>
        <w:gridCol w:w="1554"/>
        <w:gridCol w:w="1423"/>
        <w:gridCol w:w="851"/>
        <w:gridCol w:w="709"/>
        <w:gridCol w:w="603"/>
      </w:tblGrid>
      <w:tr w:rsidR="00F05C9B" w:rsidRPr="00653014" w:rsidTr="00F05C9B">
        <w:trPr>
          <w:trHeight w:val="1173"/>
        </w:trPr>
        <w:tc>
          <w:tcPr>
            <w:tcW w:w="4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ռո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653014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653014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F05C9B" w:rsidRPr="00653014" w:rsidTr="00F05C9B">
        <w:trPr>
          <w:trHeight w:val="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F05C9B" w:rsidRPr="00653014" w:rsidTr="00F05C9B">
        <w:trPr>
          <w:trHeight w:val="3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91.94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21/04-20/07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lastRenderedPageBreak/>
              <w:t>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51.63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21/07-20/08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37.89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21/08-30/09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rPr>
          <w:trHeight w:val="2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Խոտհարքների խոզան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F05C9B" w:rsidRPr="00653014" w:rsidTr="00F05C9B">
        <w:trPr>
          <w:trHeight w:val="3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Ղռերի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79.37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21/04-10/05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F05C9B" w:rsidRPr="00653014" w:rsidTr="00F05C9B">
        <w:trPr>
          <w:trHeight w:val="3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76.72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11/05-10/05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68.49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  <w:lang w:val="hy-AM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01/06-10/07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67.59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11/07-20/08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87.49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21/08-30/09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 xml:space="preserve">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</w:t>
            </w:r>
          </w:p>
        </w:tc>
        <w:tc>
          <w:tcPr>
            <w:tcW w:w="297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լանջ-1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50.05</w:t>
            </w:r>
          </w:p>
        </w:tc>
        <w:tc>
          <w:tcPr>
            <w:tcW w:w="11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  <w:highlight w:val="yellow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21/04-10/05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01/10-10/11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Ղռերի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79.37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  <w:highlight w:val="lightGray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67.88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01/06-30/07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57.32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01/08-30/09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71.94</w:t>
            </w:r>
          </w:p>
        </w:tc>
        <w:tc>
          <w:tcPr>
            <w:tcW w:w="11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21/04-10/05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62.11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37.33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52.84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35.49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71.56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</w:t>
            </w:r>
          </w:p>
        </w:tc>
        <w:tc>
          <w:tcPr>
            <w:tcW w:w="297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լանջ-4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72.89</w:t>
            </w:r>
          </w:p>
        </w:tc>
        <w:tc>
          <w:tcPr>
            <w:tcW w:w="11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21-30/04</w:t>
            </w:r>
          </w:p>
        </w:tc>
        <w:tc>
          <w:tcPr>
            <w:tcW w:w="1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11/10-10/11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62.11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01-15/05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36.05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Արծաթաղբյուրի տարածք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85.64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01/06-10/07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48.27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11-30/07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52.38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01-30/08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77.71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01/09-10/10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21/03-30/04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01-30/11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51.63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01/05-30/05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11-30/10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91.94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01/06-30/08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37.89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01/09-10/10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F05C9B" w:rsidRPr="00653014" w:rsidRDefault="00F05C9B" w:rsidP="00F05C9B">
      <w:pPr>
        <w:rPr>
          <w:rFonts w:ascii="Sylfaen" w:hAnsi="Sylfaen"/>
          <w:sz w:val="16"/>
          <w:szCs w:val="16"/>
        </w:rPr>
      </w:pPr>
      <w:r w:rsidRPr="00653014">
        <w:rPr>
          <w:rFonts w:ascii="Sylfaen" w:hAnsi="Sylfaen"/>
          <w:b/>
          <w:sz w:val="16"/>
          <w:szCs w:val="16"/>
        </w:rPr>
        <w:t>Ծանոթություն</w:t>
      </w:r>
      <w:r w:rsidRPr="00653014">
        <w:rPr>
          <w:rFonts w:ascii="Sylfaen" w:hAnsi="Sylfaen"/>
          <w:sz w:val="16"/>
          <w:szCs w:val="16"/>
        </w:rPr>
        <w:t>, ՈՒ- ուշ ժամկետում արածեցում:</w:t>
      </w:r>
    </w:p>
    <w:p w:rsidR="00F05C9B" w:rsidRPr="00653014" w:rsidRDefault="00F05C9B" w:rsidP="00F05C9B">
      <w:pPr>
        <w:tabs>
          <w:tab w:val="left" w:pos="360"/>
        </w:tabs>
        <w:ind w:left="-426" w:firstLine="426"/>
        <w:rPr>
          <w:rFonts w:ascii="Sylfaen" w:hAnsi="Sylfaen"/>
          <w:bCs w:val="0"/>
          <w:color w:val="auto"/>
          <w:spacing w:val="0"/>
          <w:sz w:val="16"/>
          <w:szCs w:val="16"/>
          <w:lang w:val="fr-FR"/>
        </w:rPr>
      </w:pPr>
      <w:r w:rsidRPr="00653014">
        <w:rPr>
          <w:rFonts w:ascii="Sylfaen" w:hAnsi="Sylfaen"/>
          <w:bCs w:val="0"/>
          <w:color w:val="auto"/>
          <w:spacing w:val="0"/>
          <w:sz w:val="16"/>
          <w:szCs w:val="16"/>
          <w:lang w:val="fr-FR"/>
        </w:rPr>
        <w:br w:type="page"/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lang w:val="fr-FR"/>
        </w:rPr>
        <w:lastRenderedPageBreak/>
        <w:t xml:space="preserve">                                                                                                                                              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</w:rPr>
        <w:t>Աղյուսակ</w:t>
      </w:r>
      <w:r w:rsidRPr="00653014">
        <w:rPr>
          <w:rFonts w:ascii="Sylfaen" w:hAnsi="Sylfaen"/>
          <w:bCs w:val="0"/>
          <w:color w:val="auto"/>
          <w:spacing w:val="0"/>
          <w:sz w:val="16"/>
          <w:szCs w:val="16"/>
          <w:lang w:val="fr-FR"/>
        </w:rPr>
        <w:t xml:space="preserve"> </w:t>
      </w:r>
      <w:r w:rsidRPr="00653014">
        <w:rPr>
          <w:rFonts w:ascii="Sylfaen" w:hAnsi="Sylfaen"/>
          <w:bCs w:val="0"/>
          <w:spacing w:val="0"/>
          <w:sz w:val="16"/>
          <w:szCs w:val="16"/>
          <w:lang w:val="fr-FR"/>
        </w:rPr>
        <w:t>14</w:t>
      </w:r>
      <w:r w:rsidRPr="00653014">
        <w:rPr>
          <w:rFonts w:ascii="Sylfaen" w:hAnsi="Sylfaen"/>
          <w:bCs w:val="0"/>
          <w:spacing w:val="0"/>
          <w:sz w:val="16"/>
          <w:szCs w:val="16"/>
        </w:rPr>
        <w:t>գ</w:t>
      </w:r>
    </w:p>
    <w:p w:rsidR="00F05C9B" w:rsidRPr="00653014" w:rsidRDefault="00F05C9B" w:rsidP="00F05C9B">
      <w:pPr>
        <w:tabs>
          <w:tab w:val="left" w:pos="360"/>
        </w:tabs>
        <w:ind w:left="-426" w:firstLine="426"/>
        <w:rPr>
          <w:rFonts w:ascii="Sylfaen" w:hAnsi="Sylfaen"/>
          <w:sz w:val="16"/>
          <w:szCs w:val="16"/>
          <w:lang w:val="fr-FR"/>
        </w:rPr>
      </w:pPr>
      <w:r w:rsidRPr="00653014">
        <w:rPr>
          <w:rFonts w:ascii="Sylfaen" w:hAnsi="Sylfaen" w:cs="Sylfaen"/>
          <w:sz w:val="16"/>
          <w:szCs w:val="16"/>
        </w:rPr>
        <w:t>Արտաբույնք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համայնքի </w:t>
      </w:r>
      <w:r w:rsidRPr="00653014">
        <w:rPr>
          <w:rFonts w:ascii="Sylfaen" w:hAnsi="Sylfaen" w:cs="Sylfaen"/>
          <w:sz w:val="16"/>
          <w:szCs w:val="16"/>
        </w:rPr>
        <w:t>ԽԵԱ</w:t>
      </w:r>
      <w:r w:rsidRPr="00653014">
        <w:rPr>
          <w:rFonts w:ascii="Sylfaen" w:hAnsi="Sylfaen" w:cs="Sylfaen"/>
          <w:sz w:val="16"/>
          <w:szCs w:val="16"/>
          <w:lang w:val="fr-FR"/>
        </w:rPr>
        <w:t>-</w:t>
      </w:r>
      <w:r w:rsidRPr="00653014">
        <w:rPr>
          <w:rFonts w:ascii="Sylfaen" w:hAnsi="Sylfaen" w:cs="Sylfaen"/>
          <w:sz w:val="16"/>
          <w:szCs w:val="16"/>
        </w:rPr>
        <w:t>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և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ՄԵԱ</w:t>
      </w:r>
      <w:r w:rsidRPr="00653014">
        <w:rPr>
          <w:rFonts w:ascii="Sylfaen" w:hAnsi="Sylfaen" w:cs="Sylfaen"/>
          <w:sz w:val="16"/>
          <w:szCs w:val="16"/>
          <w:lang w:val="fr-FR"/>
        </w:rPr>
        <w:t>-</w:t>
      </w:r>
      <w:r w:rsidRPr="00653014">
        <w:rPr>
          <w:rFonts w:ascii="Sylfaen" w:hAnsi="Sylfaen" w:cs="Sylfaen"/>
          <w:sz w:val="16"/>
          <w:szCs w:val="16"/>
        </w:rPr>
        <w:t>ի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արածեցման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 w:cs="Sylfaen"/>
          <w:sz w:val="16"/>
          <w:szCs w:val="16"/>
        </w:rPr>
        <w:t>գրաֆիկ</w:t>
      </w:r>
      <w:r w:rsidRPr="00653014">
        <w:rPr>
          <w:rFonts w:ascii="Sylfaen" w:hAnsi="Sylfaen" w:cs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/>
          <w:sz w:val="16"/>
          <w:szCs w:val="16"/>
          <w:lang w:val="fr-FR"/>
        </w:rPr>
        <w:t xml:space="preserve">(3-րդ </w:t>
      </w:r>
      <w:r w:rsidRPr="00653014">
        <w:rPr>
          <w:rFonts w:ascii="Sylfaen" w:hAnsi="Sylfaen"/>
          <w:sz w:val="16"/>
          <w:szCs w:val="16"/>
        </w:rPr>
        <w:t>տարի</w:t>
      </w:r>
      <w:r w:rsidRPr="00653014">
        <w:rPr>
          <w:rFonts w:ascii="Sylfaen" w:hAnsi="Sylfaen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977"/>
        <w:gridCol w:w="998"/>
        <w:gridCol w:w="42"/>
        <w:gridCol w:w="1086"/>
        <w:gridCol w:w="28"/>
        <w:gridCol w:w="1531"/>
        <w:gridCol w:w="1419"/>
        <w:gridCol w:w="851"/>
        <w:gridCol w:w="709"/>
        <w:gridCol w:w="603"/>
      </w:tblGrid>
      <w:tr w:rsidR="00F05C9B" w:rsidRPr="00653014" w:rsidTr="00F05C9B">
        <w:trPr>
          <w:trHeight w:val="1173"/>
        </w:trPr>
        <w:tc>
          <w:tcPr>
            <w:tcW w:w="4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ռո</w:t>
            </w:r>
            <w:r w:rsidRPr="00653014">
              <w:rPr>
                <w:rFonts w:ascii="Sylfaen" w:hAnsi="Sylfaen"/>
                <w:sz w:val="16"/>
                <w:szCs w:val="16"/>
              </w:rPr>
              <w:softHyphen/>
            </w:r>
            <w:r w:rsidRPr="00653014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653014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653014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F05C9B" w:rsidRPr="00653014" w:rsidTr="00F05C9B">
        <w:trPr>
          <w:trHeight w:val="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653014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653014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Սմբարտաբերդի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51.63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21/04-20/05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91.94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21/05-20/08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Սմբարտաբերդի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37.89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21/08-30/09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rPr>
          <w:trHeight w:val="2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 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Խոտհարքների խոզան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</w:t>
            </w:r>
          </w:p>
        </w:tc>
        <w:tc>
          <w:tcPr>
            <w:tcW w:w="29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լանջ-3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76.72</w:t>
            </w:r>
          </w:p>
        </w:tc>
        <w:tc>
          <w:tcPr>
            <w:tcW w:w="112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21/04-10/05</w:t>
            </w:r>
          </w:p>
        </w:tc>
        <w:tc>
          <w:tcPr>
            <w:tcW w:w="141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rPr>
          <w:trHeight w:val="3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Ղռերի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79.37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11-30/05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68.49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  <w:lang w:val="hy-AM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01/06-10/07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67.59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11/07-20/08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87.49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21/08-30/09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 xml:space="preserve">  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ԽԵԱ-2;5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</w:t>
            </w:r>
          </w:p>
        </w:tc>
        <w:tc>
          <w:tcPr>
            <w:tcW w:w="29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Ղռերի լանջ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79.37</w:t>
            </w:r>
          </w:p>
        </w:tc>
        <w:tc>
          <w:tcPr>
            <w:tcW w:w="112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  <w:highlight w:val="lightGray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21/04-10/05</w:t>
            </w:r>
          </w:p>
        </w:tc>
        <w:tc>
          <w:tcPr>
            <w:tcW w:w="141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50.05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  <w:highlight w:val="yellow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11-30/05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67.88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01/06-30/07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57.32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01/08-30/09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29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լանջ-2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62.11</w:t>
            </w:r>
          </w:p>
        </w:tc>
        <w:tc>
          <w:tcPr>
            <w:tcW w:w="112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21/04-10/05</w:t>
            </w:r>
          </w:p>
        </w:tc>
        <w:tc>
          <w:tcPr>
            <w:tcW w:w="141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71.94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11-30/05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37.33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52.84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35.49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Սև աղբյուրի տարածք-3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71.56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01-30/09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30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</w:t>
            </w:r>
          </w:p>
        </w:tc>
        <w:tc>
          <w:tcPr>
            <w:tcW w:w="29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լանջ-2</w:t>
            </w:r>
          </w:p>
        </w:tc>
        <w:tc>
          <w:tcPr>
            <w:tcW w:w="9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62.11</w:t>
            </w:r>
          </w:p>
        </w:tc>
        <w:tc>
          <w:tcPr>
            <w:tcW w:w="112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01/04-05/05</w:t>
            </w:r>
          </w:p>
        </w:tc>
        <w:tc>
          <w:tcPr>
            <w:tcW w:w="141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Սարահարթի լանջ-4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72.89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06-15/05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11/10-10/11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Ցախաց քարի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36.05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16-30/05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Արծաթաղբյուրի տարածք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85.64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01/06-10/07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48.27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11-30/07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52.38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01-30/08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 աչք աղբյուրներ-5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77.71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ԽԵԱ-6;7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01/09-10/10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4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21/03-30/04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01-30/11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8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51.63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01/05-30/05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11-30/10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12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Արևայգի լանջ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91.94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01/06-30/08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F05C9B" w:rsidRPr="00653014" w:rsidTr="00F05C9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Սմբատաբերդի տարածք-2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 w:cs="Calibri"/>
                <w:sz w:val="16"/>
                <w:szCs w:val="16"/>
              </w:rPr>
            </w:pPr>
            <w:r w:rsidRPr="00653014">
              <w:rPr>
                <w:rFonts w:ascii="Sylfaen" w:hAnsi="Sylfaen" w:cs="Calibri"/>
                <w:sz w:val="16"/>
                <w:szCs w:val="16"/>
              </w:rPr>
              <w:t>37.89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ՄԵԱ-1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01/09-10/10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05C9B" w:rsidRPr="00653014" w:rsidRDefault="00F05C9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53014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F05C9B" w:rsidRPr="00653014" w:rsidRDefault="00F05C9B" w:rsidP="00F05C9B">
      <w:pPr>
        <w:rPr>
          <w:rFonts w:ascii="Sylfaen" w:hAnsi="Sylfaen"/>
          <w:sz w:val="16"/>
          <w:szCs w:val="16"/>
          <w:lang w:val="fr-FR"/>
        </w:rPr>
      </w:pPr>
      <w:r w:rsidRPr="00653014">
        <w:rPr>
          <w:rFonts w:ascii="Sylfaen" w:hAnsi="Sylfaen"/>
          <w:b/>
          <w:sz w:val="16"/>
          <w:szCs w:val="16"/>
        </w:rPr>
        <w:t>Ծանոթություն</w:t>
      </w:r>
      <w:r w:rsidRPr="00653014">
        <w:rPr>
          <w:rFonts w:ascii="Sylfaen" w:hAnsi="Sylfaen"/>
          <w:sz w:val="16"/>
          <w:szCs w:val="16"/>
          <w:lang w:val="fr-FR"/>
        </w:rPr>
        <w:t xml:space="preserve">, </w:t>
      </w:r>
      <w:r w:rsidRPr="00653014">
        <w:rPr>
          <w:rFonts w:ascii="Sylfaen" w:hAnsi="Sylfaen"/>
          <w:sz w:val="16"/>
          <w:szCs w:val="16"/>
        </w:rPr>
        <w:t>ՈՒ</w:t>
      </w:r>
      <w:r w:rsidRPr="00653014">
        <w:rPr>
          <w:rFonts w:ascii="Sylfaen" w:hAnsi="Sylfaen"/>
          <w:sz w:val="16"/>
          <w:szCs w:val="16"/>
          <w:lang w:val="fr-FR"/>
        </w:rPr>
        <w:t xml:space="preserve">- </w:t>
      </w:r>
      <w:r w:rsidRPr="00653014">
        <w:rPr>
          <w:rFonts w:ascii="Sylfaen" w:hAnsi="Sylfaen"/>
          <w:sz w:val="16"/>
          <w:szCs w:val="16"/>
        </w:rPr>
        <w:t>ուշ</w:t>
      </w:r>
      <w:r w:rsidRPr="00653014">
        <w:rPr>
          <w:rFonts w:ascii="Sylfaen" w:hAnsi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/>
          <w:sz w:val="16"/>
          <w:szCs w:val="16"/>
        </w:rPr>
        <w:t>ժամկետում</w:t>
      </w:r>
      <w:r w:rsidRPr="00653014">
        <w:rPr>
          <w:rFonts w:ascii="Sylfaen" w:hAnsi="Sylfaen"/>
          <w:sz w:val="16"/>
          <w:szCs w:val="16"/>
          <w:lang w:val="fr-FR"/>
        </w:rPr>
        <w:t xml:space="preserve"> </w:t>
      </w:r>
      <w:r w:rsidRPr="00653014">
        <w:rPr>
          <w:rFonts w:ascii="Sylfaen" w:hAnsi="Sylfaen"/>
          <w:sz w:val="16"/>
          <w:szCs w:val="16"/>
        </w:rPr>
        <w:t>արածեցում</w:t>
      </w:r>
      <w:r w:rsidRPr="00653014">
        <w:rPr>
          <w:rFonts w:ascii="Sylfaen" w:hAnsi="Sylfaen"/>
          <w:sz w:val="16"/>
          <w:szCs w:val="16"/>
          <w:lang w:val="fr-FR"/>
        </w:rPr>
        <w:t>:</w:t>
      </w:r>
    </w:p>
    <w:p w:rsidR="00F05C9B" w:rsidRPr="00653014" w:rsidRDefault="00F05C9B" w:rsidP="00F05C9B">
      <w:pPr>
        <w:tabs>
          <w:tab w:val="left" w:pos="360"/>
        </w:tabs>
        <w:jc w:val="right"/>
        <w:rPr>
          <w:rFonts w:ascii="Sylfaen" w:hAnsi="Sylfaen"/>
          <w:bCs w:val="0"/>
          <w:color w:val="auto"/>
          <w:spacing w:val="0"/>
          <w:sz w:val="16"/>
          <w:szCs w:val="16"/>
          <w:u w:val="single"/>
          <w:lang w:val="fr-FR"/>
        </w:rPr>
      </w:pPr>
    </w:p>
    <w:p w:rsidR="00F05C9B" w:rsidRPr="00653014" w:rsidRDefault="00F05C9B" w:rsidP="00F05C9B">
      <w:pPr>
        <w:tabs>
          <w:tab w:val="left" w:pos="360"/>
        </w:tabs>
        <w:jc w:val="right"/>
        <w:rPr>
          <w:rFonts w:ascii="Sylfaen" w:hAnsi="Sylfaen"/>
          <w:bCs w:val="0"/>
          <w:color w:val="auto"/>
          <w:spacing w:val="0"/>
          <w:sz w:val="16"/>
          <w:szCs w:val="16"/>
          <w:lang w:val="fr-FR"/>
        </w:rPr>
      </w:pPr>
    </w:p>
    <w:p w:rsidR="00826DE4" w:rsidRPr="00653014" w:rsidRDefault="00826DE4">
      <w:pPr>
        <w:rPr>
          <w:sz w:val="16"/>
          <w:szCs w:val="16"/>
          <w:lang w:val="fr-FR"/>
        </w:rPr>
      </w:pPr>
    </w:p>
    <w:sectPr w:rsidR="00826DE4" w:rsidRPr="00653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D4D1B"/>
    <w:multiLevelType w:val="hybridMultilevel"/>
    <w:tmpl w:val="86CCA71C"/>
    <w:lvl w:ilvl="0" w:tplc="CAB287C6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65183"/>
    <w:multiLevelType w:val="hybridMultilevel"/>
    <w:tmpl w:val="6D2EFA4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B03E02"/>
    <w:multiLevelType w:val="multilevel"/>
    <w:tmpl w:val="08143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8B"/>
    <w:rsid w:val="00653014"/>
    <w:rsid w:val="007C6D8B"/>
    <w:rsid w:val="00826DE4"/>
    <w:rsid w:val="00F0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C9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05C9B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5C9B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a3">
    <w:name w:val="Hyperlink"/>
    <w:uiPriority w:val="99"/>
    <w:semiHidden/>
    <w:unhideWhenUsed/>
    <w:rsid w:val="00F05C9B"/>
    <w:rPr>
      <w:color w:val="0000FF"/>
      <w:u w:val="single"/>
    </w:rPr>
  </w:style>
  <w:style w:type="character" w:styleId="a4">
    <w:name w:val="FollowedHyperlink"/>
    <w:semiHidden/>
    <w:unhideWhenUsed/>
    <w:rsid w:val="00F05C9B"/>
    <w:rPr>
      <w:color w:val="800080"/>
      <w:u w:val="single"/>
    </w:rPr>
  </w:style>
  <w:style w:type="paragraph" w:styleId="a5">
    <w:name w:val="Normal (Web)"/>
    <w:basedOn w:val="a"/>
    <w:semiHidden/>
    <w:unhideWhenUsed/>
    <w:rsid w:val="00F05C9B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05C9B"/>
    <w:pPr>
      <w:tabs>
        <w:tab w:val="right" w:leader="dot" w:pos="10632"/>
      </w:tabs>
      <w:spacing w:line="360" w:lineRule="auto"/>
      <w:jc w:val="both"/>
    </w:pPr>
    <w:rPr>
      <w:noProof/>
    </w:rPr>
  </w:style>
  <w:style w:type="paragraph" w:styleId="a6">
    <w:name w:val="footnote text"/>
    <w:basedOn w:val="a"/>
    <w:link w:val="a7"/>
    <w:uiPriority w:val="99"/>
    <w:semiHidden/>
    <w:unhideWhenUsed/>
    <w:rsid w:val="00F05C9B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F05C9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F05C9B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F05C9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F05C9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F05C9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semiHidden/>
    <w:unhideWhenUsed/>
    <w:rsid w:val="00F05C9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semiHidden/>
    <w:rsid w:val="00F05C9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F05C9B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F05C9B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F05C9B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F05C9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F05C9B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F05C9B"/>
    <w:rPr>
      <w:b/>
    </w:rPr>
  </w:style>
  <w:style w:type="character" w:customStyle="1" w:styleId="af4">
    <w:name w:val="Тема примечания Знак"/>
    <w:basedOn w:val="a9"/>
    <w:link w:val="af3"/>
    <w:semiHidden/>
    <w:rsid w:val="00F05C9B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F05C9B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F05C9B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Revision"/>
    <w:uiPriority w:val="99"/>
    <w:semiHidden/>
    <w:rsid w:val="00F05C9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List Paragraph"/>
    <w:basedOn w:val="a"/>
    <w:qFormat/>
    <w:rsid w:val="00F05C9B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character" w:customStyle="1" w:styleId="Style1Char">
    <w:name w:val="Style1 Char"/>
    <w:link w:val="Style1"/>
    <w:locked/>
    <w:rsid w:val="00F05C9B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F05C9B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9">
    <w:name w:val="footnote reference"/>
    <w:uiPriority w:val="99"/>
    <w:semiHidden/>
    <w:unhideWhenUsed/>
    <w:rsid w:val="00F05C9B"/>
    <w:rPr>
      <w:vertAlign w:val="superscript"/>
    </w:rPr>
  </w:style>
  <w:style w:type="character" w:styleId="afa">
    <w:name w:val="annotation reference"/>
    <w:semiHidden/>
    <w:unhideWhenUsed/>
    <w:rsid w:val="00F05C9B"/>
    <w:rPr>
      <w:sz w:val="16"/>
      <w:szCs w:val="16"/>
    </w:rPr>
  </w:style>
  <w:style w:type="character" w:customStyle="1" w:styleId="apple-converted-space">
    <w:name w:val="apple-converted-space"/>
    <w:basedOn w:val="a0"/>
    <w:rsid w:val="00F05C9B"/>
  </w:style>
  <w:style w:type="character" w:customStyle="1" w:styleId="apple-style-span">
    <w:name w:val="apple-style-span"/>
    <w:basedOn w:val="a0"/>
    <w:rsid w:val="00F05C9B"/>
  </w:style>
  <w:style w:type="character" w:customStyle="1" w:styleId="12">
    <w:name w:val="Тема примечания Знак1"/>
    <w:basedOn w:val="a9"/>
    <w:semiHidden/>
    <w:rsid w:val="00F05C9B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F05C9B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b">
    <w:name w:val="Table Grid"/>
    <w:basedOn w:val="a1"/>
    <w:uiPriority w:val="59"/>
    <w:rsid w:val="00F05C9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C9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05C9B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5C9B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a3">
    <w:name w:val="Hyperlink"/>
    <w:uiPriority w:val="99"/>
    <w:semiHidden/>
    <w:unhideWhenUsed/>
    <w:rsid w:val="00F05C9B"/>
    <w:rPr>
      <w:color w:val="0000FF"/>
      <w:u w:val="single"/>
    </w:rPr>
  </w:style>
  <w:style w:type="character" w:styleId="a4">
    <w:name w:val="FollowedHyperlink"/>
    <w:semiHidden/>
    <w:unhideWhenUsed/>
    <w:rsid w:val="00F05C9B"/>
    <w:rPr>
      <w:color w:val="800080"/>
      <w:u w:val="single"/>
    </w:rPr>
  </w:style>
  <w:style w:type="paragraph" w:styleId="a5">
    <w:name w:val="Normal (Web)"/>
    <w:basedOn w:val="a"/>
    <w:semiHidden/>
    <w:unhideWhenUsed/>
    <w:rsid w:val="00F05C9B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05C9B"/>
    <w:pPr>
      <w:tabs>
        <w:tab w:val="right" w:leader="dot" w:pos="10632"/>
      </w:tabs>
      <w:spacing w:line="360" w:lineRule="auto"/>
      <w:jc w:val="both"/>
    </w:pPr>
    <w:rPr>
      <w:noProof/>
    </w:rPr>
  </w:style>
  <w:style w:type="paragraph" w:styleId="a6">
    <w:name w:val="footnote text"/>
    <w:basedOn w:val="a"/>
    <w:link w:val="a7"/>
    <w:uiPriority w:val="99"/>
    <w:semiHidden/>
    <w:unhideWhenUsed/>
    <w:rsid w:val="00F05C9B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F05C9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F05C9B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F05C9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F05C9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F05C9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semiHidden/>
    <w:unhideWhenUsed/>
    <w:rsid w:val="00F05C9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semiHidden/>
    <w:rsid w:val="00F05C9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F05C9B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F05C9B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F05C9B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F05C9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F05C9B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F05C9B"/>
    <w:rPr>
      <w:b/>
    </w:rPr>
  </w:style>
  <w:style w:type="character" w:customStyle="1" w:styleId="af4">
    <w:name w:val="Тема примечания Знак"/>
    <w:basedOn w:val="a9"/>
    <w:link w:val="af3"/>
    <w:semiHidden/>
    <w:rsid w:val="00F05C9B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F05C9B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F05C9B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Revision"/>
    <w:uiPriority w:val="99"/>
    <w:semiHidden/>
    <w:rsid w:val="00F05C9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List Paragraph"/>
    <w:basedOn w:val="a"/>
    <w:qFormat/>
    <w:rsid w:val="00F05C9B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character" w:customStyle="1" w:styleId="Style1Char">
    <w:name w:val="Style1 Char"/>
    <w:link w:val="Style1"/>
    <w:locked/>
    <w:rsid w:val="00F05C9B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F05C9B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9">
    <w:name w:val="footnote reference"/>
    <w:uiPriority w:val="99"/>
    <w:semiHidden/>
    <w:unhideWhenUsed/>
    <w:rsid w:val="00F05C9B"/>
    <w:rPr>
      <w:vertAlign w:val="superscript"/>
    </w:rPr>
  </w:style>
  <w:style w:type="character" w:styleId="afa">
    <w:name w:val="annotation reference"/>
    <w:semiHidden/>
    <w:unhideWhenUsed/>
    <w:rsid w:val="00F05C9B"/>
    <w:rPr>
      <w:sz w:val="16"/>
      <w:szCs w:val="16"/>
    </w:rPr>
  </w:style>
  <w:style w:type="character" w:customStyle="1" w:styleId="apple-converted-space">
    <w:name w:val="apple-converted-space"/>
    <w:basedOn w:val="a0"/>
    <w:rsid w:val="00F05C9B"/>
  </w:style>
  <w:style w:type="character" w:customStyle="1" w:styleId="apple-style-span">
    <w:name w:val="apple-style-span"/>
    <w:basedOn w:val="a0"/>
    <w:rsid w:val="00F05C9B"/>
  </w:style>
  <w:style w:type="character" w:customStyle="1" w:styleId="12">
    <w:name w:val="Тема примечания Знак1"/>
    <w:basedOn w:val="a9"/>
    <w:semiHidden/>
    <w:rsid w:val="00F05C9B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F05C9B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b">
    <w:name w:val="Table Grid"/>
    <w:basedOn w:val="a1"/>
    <w:uiPriority w:val="59"/>
    <w:rsid w:val="00F05C9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888\Downloads\2.%20Artabuynq_2016%20CARMAC.doc" TargetMode="External"/><Relationship Id="rId13" Type="http://schemas.openxmlformats.org/officeDocument/2006/relationships/hyperlink" Target="file:///C:\Users\888\Downloads\2.%20Artabuynq_2016%20CARMAC.doc" TargetMode="External"/><Relationship Id="rId18" Type="http://schemas.openxmlformats.org/officeDocument/2006/relationships/hyperlink" Target="file:///C:\Users\888\Downloads\2.%20Artabuynq_2016%20CARMAC.doc" TargetMode="External"/><Relationship Id="rId26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2.%20Artabuynq_2016%20CARMAC.doc" TargetMode="External"/><Relationship Id="rId7" Type="http://schemas.openxmlformats.org/officeDocument/2006/relationships/image" Target="media/image2.jpeg"/><Relationship Id="rId12" Type="http://schemas.openxmlformats.org/officeDocument/2006/relationships/hyperlink" Target="file:///C:\Users\888\Downloads\2.%20Artabuynq_2016%20CARMAC.doc" TargetMode="External"/><Relationship Id="rId17" Type="http://schemas.openxmlformats.org/officeDocument/2006/relationships/hyperlink" Target="file:///C:\Users\888\Downloads\2.%20Artabuynq_2016%20CARMAC.doc" TargetMode="External"/><Relationship Id="rId25" Type="http://schemas.openxmlformats.org/officeDocument/2006/relationships/hyperlink" Target="file:///C:\Users\888\Downloads\2.%20Artabuynq_2016%20CARMAC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2.%20Artabuynq_2016%20CARMAC.doc" TargetMode="External"/><Relationship Id="rId20" Type="http://schemas.openxmlformats.org/officeDocument/2006/relationships/hyperlink" Target="file:///C:\Users\888\Downloads\2.%20Artabuynq_2016%20CARMAC.doc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2.%20Artabuynq_2016%20CARMAC.doc" TargetMode="External"/><Relationship Id="rId24" Type="http://schemas.openxmlformats.org/officeDocument/2006/relationships/hyperlink" Target="file:///C:\Users\888\Downloads\2.%20Artabuynq_2016%20CARMAC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2.%20Artabuynq_2016%20CARMAC.doc" TargetMode="External"/><Relationship Id="rId23" Type="http://schemas.openxmlformats.org/officeDocument/2006/relationships/hyperlink" Target="file:///C:\Users\888\Downloads\2.%20Artabuynq_2016%20CARMAC.doc" TargetMode="External"/><Relationship Id="rId28" Type="http://schemas.openxmlformats.org/officeDocument/2006/relationships/image" Target="media/image5.jpeg"/><Relationship Id="rId10" Type="http://schemas.openxmlformats.org/officeDocument/2006/relationships/hyperlink" Target="file:///C:\Users\888\Downloads\2.%20Artabuynq_2016%20CARMAC.doc" TargetMode="External"/><Relationship Id="rId19" Type="http://schemas.openxmlformats.org/officeDocument/2006/relationships/hyperlink" Target="file:///C:\Users\888\Downloads\2.%20Artabuynq_2016%20CARMAC.doc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2.%20Artabuynq_2016%20CARMAC.doc" TargetMode="External"/><Relationship Id="rId14" Type="http://schemas.openxmlformats.org/officeDocument/2006/relationships/hyperlink" Target="file:///C:\Users\888\Downloads\2.%20Artabuynq_2016%20CARMAC.doc" TargetMode="External"/><Relationship Id="rId22" Type="http://schemas.openxmlformats.org/officeDocument/2006/relationships/hyperlink" Target="file:///C:\Users\888\Downloads\2.%20Artabuynq_2016%20CARMAC.doc" TargetMode="External"/><Relationship Id="rId27" Type="http://schemas.openxmlformats.org/officeDocument/2006/relationships/image" Target="media/image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12281</Words>
  <Characters>70006</Characters>
  <Application>Microsoft Office Word</Application>
  <DocSecurity>0</DocSecurity>
  <Lines>583</Lines>
  <Paragraphs>164</Paragraphs>
  <ScaleCrop>false</ScaleCrop>
  <Company>Home</Company>
  <LinksUpToDate>false</LinksUpToDate>
  <CharactersWithSpaces>82123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cp:lastPrinted>2020-02-17T14:33:00Z</cp:lastPrinted>
  <dcterms:created xsi:type="dcterms:W3CDTF">2020-02-14T14:24:00Z</dcterms:created>
  <dcterms:modified xsi:type="dcterms:W3CDTF">2020-02-17T14:35:00Z</dcterms:modified>
</cp:coreProperties>
</file>